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93" w:rsidRDefault="00480093" w:rsidP="00480093">
      <w:bookmarkStart w:id="0" w:name="_GoBack"/>
      <w:r w:rsidRPr="008A6716">
        <w:t>3 Характеристика недвижимого имущества как объекта строительства</w:t>
      </w:r>
    </w:p>
    <w:bookmarkEnd w:id="0"/>
    <w:p w:rsidR="00480093" w:rsidRDefault="00480093" w:rsidP="00480093">
      <w:r w:rsidRPr="008A6716">
        <w:t xml:space="preserve"> Введение в современное гражданское законодательство категории «недвижимое имущество» способствовало оживлению имущественного оборота. Создание Концепции развития законодательства о недвижимом имуществе способствовало переоценке норм гражданского права в части внесения в него изменений относительно примерного перечня объектов недвижимого имущества. Так, в ст. 130 ГК РФ появился такой вид объектов гражданских прав, как объект незавершенного строительства. Применительно к его правовой природе в доктрине гражданского права существовало два подхода. Во-первых, объект незавершенного строительства является по своей юридической сущности недвижимым имуществом, на которое распространяются признаки любой недвижимой вещи: прочная связь с землей и несоизмеримость затрат при переносе такого объекта на новый земельный участок. Во-вторых, это движимое имущество до момента ввода такого объекта в эксплуатацию по акту государственной приемочной комиссии и регистрации права собственности на введенный в эксплуатацию объект в Едином государственном реестре прав на недвижимое имущество и сделок с ним (далее – ЕГРП). Позиция законодателя о придании объекту незавершенного строительства правового режима недвижимого имущества базируется и на подходах судебной практики, квалифицирующей такие вещи как недвижимые. Элементами правового режима объекта незавершенного строительства является его технический учет (инвентаризация) в форме составления на него технического паспорта; кадастровый учет с присвоением уникального кадастрового номера и занесением данных о таком объекте в Единый государственный кадастр объектов недвижимого имущества; </w:t>
      </w:r>
      <w:proofErr w:type="gramStart"/>
      <w:r w:rsidRPr="008A6716">
        <w:t>регистрация перехода прав на него к третьим лицам независимо от того, является ли этот объект предметом действующего договора строительного подряда (при этом в качестве правоустанавливающих документов на подобного рода вещи служат акты об отводе земельного участка под строительство; акты о разрешении на строительство; описание объектов незавершенного строительства; иные документы, предусмотренные законом).</w:t>
      </w:r>
      <w:proofErr w:type="gramEnd"/>
      <w:r w:rsidRPr="008A6716">
        <w:t xml:space="preserve"> Полагаем, что включение объектов незавершенного строительства в круг недвижимого имущества является обоснованным шагом, свидетельствующим о том, что акт государственной регистрации прав в ЕГРП не означает создания недвижимого имущества, а должен рассматриваться как элемент правового режима недвижимости. В отличие от других недвижимостей объект незавершенного строительства относится, как правило, к числу неделимых вещей, из которых условно не могут быть выделены их составные части. Однако если по результатам проектно-сметной документации такие составные части могут быть выделены из состава объекта незавершенного строительства и использоваться автономно друг от друга по иному целевому назначению, то такая недвижимость относится к делимым вещам. По моему мнению, главное место в связке «земельный участок» и «недвижимое имущество, расположенное на земельном участке» занимает сам земельный участок. Он определяет целевое назначение недвижимого имущества и его правовой режим. Например, если земельный участок выделен под размещение объекта не капитального строительства, а временного использования, то объект, возведенный на земельном участке, не будет иметь статуса объекта кадастрового учета, а сделки с ним будут совершаться по правилам совершения сделок на земельный участок, на котором расположено такое имущество. По сложившимся обычаям регистрационной деятельности переход прав </w:t>
      </w:r>
      <w:proofErr w:type="gramStart"/>
      <w:r w:rsidRPr="008A6716">
        <w:t>на</w:t>
      </w:r>
      <w:proofErr w:type="gramEnd"/>
      <w:r w:rsidRPr="008A6716">
        <w:t xml:space="preserve"> </w:t>
      </w:r>
      <w:proofErr w:type="gramStart"/>
      <w:r w:rsidRPr="008A6716">
        <w:t>подобного</w:t>
      </w:r>
      <w:proofErr w:type="gramEnd"/>
      <w:r w:rsidRPr="008A6716">
        <w:t xml:space="preserve"> рода объекты фиксируется в ЕГРП по данным технического и кадастрового учета земельного участка (первый подраздел), сведениям о правообладателе земельного участка (второй подраздел), ограничениям (обременениям) прав на земельный участок (третий подраздел). Отсюда можно сделать вывод, что собственно само недвижимое имущество применительно к нормам градостроительного законодательства суть объект капитального строительства, связь которого с земельным участком предполагает его назначение и целевое использование в гражданском обороте, а также правовой режим (совокупность действий, которые могут быть совершены с недвижимостью). Думается, что такая позиция соответствует традициям римского частного права, в котором недвижимое имущество следовало судьбе земельного участка, на котором оно было расположено. Кроме того, эти положения были </w:t>
      </w:r>
      <w:proofErr w:type="spellStart"/>
      <w:r w:rsidRPr="008A6716">
        <w:t>рецепиированы</w:t>
      </w:r>
      <w:proofErr w:type="spellEnd"/>
      <w:r w:rsidRPr="008A6716">
        <w:t xml:space="preserve"> в законодательстве некоторых зарубежных государств, опыт которых мог бы быть использован российским законодателем при конструировании положений гражданского законодательства о недвижимом имуществе. Целесообразно разрешить в законе проблему критериев отнесения объектов гражданских прав к недвижимому имуществу. В настоящее время они носят оценочный характер, зависят от того, как судом будет определен вопрос о прочной связи земельного участка с недвижимым имуществом и несоизмеримостью затрат при переносе недвижимого имущества на новый земельный участок. К сожалению, подходы судебной практики здесь неоднозначны и зависят от наличия у объекта технического паспорта, «прикрепленности» объекта к земле, стоимости затрат при переносе объекта с его первоначальной стоимостью и другими критериями. С уверенностью можно констатировать лишь одно: государственная регистрация прав на вновь возведенный объект недвижимости не может служить таким критерием. Ответ на поставленный вопрос частично можно найти в градостроительном законодательстве, закрепляющем прочность связи недвижимого имущества с земельным участком через критерий капитальности строения. Например, однозначно не являются такими объектами железобетонные и металлические гаражи, остановочные павильоны, строения из сборно-разборных конструкций. Их связь с земельным участком не имеет прочного характера, а затраты на перенос на новый земельный участок незначительны по сравнению с их первоначальной стоимостью. Отказ от дифференциации вещей на движимые и недвижимые путем замены их категорией правового режима не сможет решить принципиального различия между элементами их правового режима и </w:t>
      </w:r>
      <w:proofErr w:type="spellStart"/>
      <w:r w:rsidRPr="008A6716">
        <w:t>оборотоспособности</w:t>
      </w:r>
      <w:proofErr w:type="spellEnd"/>
      <w:r w:rsidRPr="008A6716">
        <w:t xml:space="preserve">. Отсюда законодатель должен установить различие движимых и недвижимых вещей с учетом оценки прочной связи объекта с землей и несоизмеримостью затрат при переносе на новый земельный участок в каждом конкретном случае с учетом критериев добросовестности, разумности и законности, </w:t>
      </w:r>
      <w:proofErr w:type="spellStart"/>
      <w:r w:rsidRPr="008A6716">
        <w:t>незлоупотребления</w:t>
      </w:r>
      <w:proofErr w:type="spellEnd"/>
      <w:r w:rsidRPr="008A6716">
        <w:t xml:space="preserve"> правами других лиц. Таким образом, современный законотворческий процесс в области оборота недвижимого имущества испытывает те же трудности, которые стояли перед законодателями Древнего Рима, дореволюционной России, зарубежных государств, разрешить их можно с учетом правовых традиций, накопленных в доктрине гражданского права путем соотнесения понятий «движимое» и «недвижимое имущество».</w:t>
      </w:r>
    </w:p>
    <w:p w:rsidR="00480093" w:rsidRDefault="00480093" w:rsidP="00480093"/>
    <w:p w:rsidR="0040099D" w:rsidRDefault="0040099D"/>
    <w:sectPr w:rsidR="0040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93"/>
    <w:rsid w:val="0040099D"/>
    <w:rsid w:val="004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Суггестор</dc:creator>
  <cp:lastModifiedBy>Суггестор</cp:lastModifiedBy>
  <cp:revision>1</cp:revision>
  <dcterms:created xsi:type="dcterms:W3CDTF">2023-02-08T10:24:00Z</dcterms:created>
  <dcterms:modified xsi:type="dcterms:W3CDTF">2023-02-08T10:25:00Z</dcterms:modified>
</cp:coreProperties>
</file>