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B4" w:rsidRDefault="00377DC3" w:rsidP="00FA5F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ПРОИЗВОДСТВЕННАЯ </w:t>
      </w:r>
      <w:r w:rsidR="00733E34" w:rsidRPr="005208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/ НАУЧНО-ИССЛЕДОВАТЕЛЬСКАЯ РАБОТА</w:t>
      </w:r>
    </w:p>
    <w:p w:rsidR="00526023" w:rsidRDefault="00526023" w:rsidP="00FA5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496" w:rsidRPr="00976FBA" w:rsidRDefault="000C325E" w:rsidP="00FA5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BA">
        <w:rPr>
          <w:rFonts w:ascii="Times New Roman" w:hAnsi="Times New Roman" w:cs="Times New Roman"/>
          <w:sz w:val="28"/>
          <w:szCs w:val="28"/>
        </w:rPr>
        <w:t xml:space="preserve">В качестве предприятия для проведения </w:t>
      </w:r>
      <w:r w:rsidR="00377DC3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976FBA">
        <w:rPr>
          <w:rFonts w:ascii="Times New Roman" w:hAnsi="Times New Roman" w:cs="Times New Roman"/>
          <w:sz w:val="28"/>
          <w:szCs w:val="28"/>
        </w:rPr>
        <w:t>практики может быть выбрано предприятие, выполняющее производственный процесс, обладающее развитой системой управления и производственной инфраструктурой. Местами для прохождения практики могут быть: предприятия производственной сферы; организации финансово-кредитной отрасли экономики; государственные организации и структуры различных отраслей экономики; компании и фирмы различных форм собственности.</w:t>
      </w:r>
    </w:p>
    <w:p w:rsidR="00C27EBB" w:rsidRPr="00BA3759" w:rsidRDefault="00C27EBB" w:rsidP="00FA5F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 xml:space="preserve">Для руководства производственной практикой студентов назначаются руководители из числа преподавателей выпускающей кафедры. Контактная работа преподавателя с </w:t>
      </w:r>
      <w:proofErr w:type="gramStart"/>
      <w:r w:rsidRPr="00BA375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A3759">
        <w:rPr>
          <w:rFonts w:ascii="Times New Roman" w:hAnsi="Times New Roman" w:cs="Times New Roman"/>
          <w:sz w:val="28"/>
          <w:szCs w:val="28"/>
        </w:rPr>
        <w:t xml:space="preserve"> по производственной практике осуществляется в форме индивидуальных консультаций, контактной работы в период защиты отчета по практике.</w:t>
      </w:r>
    </w:p>
    <w:p w:rsidR="00C27EBB" w:rsidRPr="00BA3759" w:rsidRDefault="00C27EBB" w:rsidP="00FA5F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>На месте прохождения практики руководителем является представитель предприятия.</w:t>
      </w:r>
    </w:p>
    <w:p w:rsidR="00C27EBB" w:rsidRPr="00BA3759" w:rsidRDefault="006F4334" w:rsidP="00FA5FB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C27EBB" w:rsidRPr="00BA3759">
        <w:rPr>
          <w:rFonts w:ascii="Times New Roman" w:hAnsi="Times New Roman" w:cs="Times New Roman"/>
          <w:sz w:val="28"/>
          <w:szCs w:val="28"/>
        </w:rPr>
        <w:t xml:space="preserve"> практика осуществляется в форме сбора и обработки необходимых данных, анализа полученных результатов, работы с литературой, выполнения экономических расчетов. </w:t>
      </w:r>
    </w:p>
    <w:p w:rsidR="006F4334" w:rsidRDefault="00C27EBB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3759">
        <w:rPr>
          <w:rFonts w:ascii="Times New Roman" w:hAnsi="Times New Roman" w:cs="Times New Roman"/>
          <w:sz w:val="28"/>
          <w:szCs w:val="28"/>
        </w:rPr>
        <w:t>После публичной защиты обучающийся загружает электронную версию отчета в личный кабинет на портале цифрового профиля ИВГПУ е-</w:t>
      </w:r>
      <w:proofErr w:type="spellStart"/>
      <w:r w:rsidRPr="00BA3759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BA375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A3759">
          <w:rPr>
            <w:rStyle w:val="a9"/>
            <w:rFonts w:ascii="Times New Roman" w:hAnsi="Times New Roman" w:cs="Times New Roman"/>
            <w:sz w:val="28"/>
            <w:szCs w:val="28"/>
          </w:rPr>
          <w:t>https://dp.ivgpu.com</w:t>
        </w:r>
      </w:hyperlink>
      <w:r w:rsidRPr="00BA37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B7558" w:rsidRPr="00BA3759" w:rsidRDefault="006B7558" w:rsidP="00FA5FBC">
      <w:pPr>
        <w:widowControl w:val="0"/>
        <w:spacing w:after="0" w:line="240" w:lineRule="auto"/>
        <w:ind w:firstLine="403"/>
        <w:rPr>
          <w:rFonts w:ascii="Times New Roman" w:hAnsi="Times New Roman" w:cs="Times New Roman"/>
          <w:sz w:val="28"/>
          <w:szCs w:val="28"/>
        </w:rPr>
      </w:pPr>
    </w:p>
    <w:p w:rsidR="006B7558" w:rsidRPr="00BA3759" w:rsidRDefault="006B7558" w:rsidP="006F4334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759">
        <w:rPr>
          <w:rFonts w:ascii="Times New Roman" w:hAnsi="Times New Roman" w:cs="Times New Roman"/>
          <w:b/>
          <w:sz w:val="28"/>
          <w:szCs w:val="28"/>
        </w:rPr>
        <w:t>Требования к содержанию, объему и структуре отчета по практике</w:t>
      </w:r>
    </w:p>
    <w:p w:rsidR="007244A5" w:rsidRDefault="007244A5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58" w:rsidRPr="00BA3759" w:rsidRDefault="006B7558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>В ходе практики студент составляет итоговый письменный отчет. Цель отчета – показать степень полноты выполнения студентом программы производственной практики. В отчете отражаются итоги деятельности студента во время прохождения практики.</w:t>
      </w:r>
    </w:p>
    <w:p w:rsidR="006B7558" w:rsidRPr="00BA3759" w:rsidRDefault="006B7558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>Объем отчета – не менее 25-30 страниц (до приложений). Таблицы, схемы, диаграммы, чертежи можно поместить в приложения,  в этом случае в основной объем отчета они не входят. Список документов, нормативных и инструктивных материалов в основной объем отчета не включаются.</w:t>
      </w:r>
    </w:p>
    <w:p w:rsidR="006B7558" w:rsidRPr="00BA3759" w:rsidRDefault="006B7558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59">
        <w:rPr>
          <w:rFonts w:ascii="Times New Roman" w:hAnsi="Times New Roman" w:cs="Times New Roman"/>
          <w:sz w:val="28"/>
          <w:szCs w:val="28"/>
        </w:rPr>
        <w:t xml:space="preserve">Отчет о практике должен содержать: </w:t>
      </w:r>
    </w:p>
    <w:p w:rsidR="006B7558" w:rsidRPr="00BA3759" w:rsidRDefault="006F4334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7558" w:rsidRPr="00BA3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B81F72" w:rsidRDefault="006F4334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7558" w:rsidRPr="00BA3759">
        <w:rPr>
          <w:rFonts w:ascii="Times New Roman" w:hAnsi="Times New Roman" w:cs="Times New Roman"/>
          <w:sz w:val="28"/>
          <w:szCs w:val="28"/>
        </w:rPr>
        <w:t xml:space="preserve"> </w:t>
      </w:r>
      <w:r w:rsidR="00B81F72">
        <w:rPr>
          <w:rFonts w:ascii="Times New Roman" w:hAnsi="Times New Roman" w:cs="Times New Roman"/>
          <w:sz w:val="28"/>
          <w:szCs w:val="28"/>
        </w:rPr>
        <w:t>Содержание.</w:t>
      </w:r>
    </w:p>
    <w:p w:rsidR="006B7558" w:rsidRPr="00BA3759" w:rsidRDefault="00B81F72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F4334">
        <w:rPr>
          <w:rFonts w:ascii="Times New Roman" w:hAnsi="Times New Roman" w:cs="Times New Roman"/>
          <w:sz w:val="28"/>
          <w:szCs w:val="28"/>
        </w:rPr>
        <w:t>В</w:t>
      </w:r>
      <w:r w:rsidR="006B7558" w:rsidRPr="00BA3759">
        <w:rPr>
          <w:rFonts w:ascii="Times New Roman" w:hAnsi="Times New Roman" w:cs="Times New Roman"/>
          <w:sz w:val="28"/>
          <w:szCs w:val="28"/>
        </w:rPr>
        <w:t>ведение</w:t>
      </w:r>
      <w:r w:rsidR="00C92D64">
        <w:rPr>
          <w:rFonts w:ascii="Times New Roman" w:hAnsi="Times New Roman" w:cs="Times New Roman"/>
          <w:sz w:val="28"/>
          <w:szCs w:val="28"/>
        </w:rPr>
        <w:t>.</w:t>
      </w:r>
    </w:p>
    <w:p w:rsidR="006B7558" w:rsidRDefault="00B81F72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4334">
        <w:rPr>
          <w:rFonts w:ascii="Times New Roman" w:hAnsi="Times New Roman" w:cs="Times New Roman"/>
          <w:sz w:val="28"/>
          <w:szCs w:val="28"/>
        </w:rPr>
        <w:t>.</w:t>
      </w:r>
      <w:r w:rsidR="006B7558" w:rsidRPr="00BA3759">
        <w:rPr>
          <w:rFonts w:ascii="Times New Roman" w:hAnsi="Times New Roman" w:cs="Times New Roman"/>
          <w:sz w:val="28"/>
          <w:szCs w:val="28"/>
        </w:rPr>
        <w:t xml:space="preserve"> </w:t>
      </w:r>
      <w:r w:rsidR="006F4334">
        <w:rPr>
          <w:rFonts w:ascii="Times New Roman" w:hAnsi="Times New Roman" w:cs="Times New Roman"/>
          <w:sz w:val="28"/>
          <w:szCs w:val="28"/>
        </w:rPr>
        <w:t>О</w:t>
      </w:r>
      <w:r w:rsidR="006B7558" w:rsidRPr="00BA3759">
        <w:rPr>
          <w:rFonts w:ascii="Times New Roman" w:hAnsi="Times New Roman" w:cs="Times New Roman"/>
          <w:sz w:val="28"/>
          <w:szCs w:val="28"/>
        </w:rPr>
        <w:t>сновная часть</w:t>
      </w:r>
      <w:r>
        <w:rPr>
          <w:rFonts w:ascii="Times New Roman" w:hAnsi="Times New Roman" w:cs="Times New Roman"/>
          <w:sz w:val="28"/>
          <w:szCs w:val="28"/>
        </w:rPr>
        <w:t xml:space="preserve"> (теоретико-методологическая)</w:t>
      </w:r>
      <w:r w:rsidR="00C92D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т.е. 1 глава магистерской диссертации.</w:t>
      </w:r>
    </w:p>
    <w:p w:rsidR="006B7558" w:rsidRPr="00BA3759" w:rsidRDefault="00B81F72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4334">
        <w:rPr>
          <w:rFonts w:ascii="Times New Roman" w:hAnsi="Times New Roman" w:cs="Times New Roman"/>
          <w:sz w:val="28"/>
          <w:szCs w:val="28"/>
        </w:rPr>
        <w:t>.</w:t>
      </w:r>
      <w:r w:rsidR="006B7558" w:rsidRPr="00BA3759">
        <w:rPr>
          <w:rFonts w:ascii="Times New Roman" w:hAnsi="Times New Roman" w:cs="Times New Roman"/>
          <w:sz w:val="28"/>
          <w:szCs w:val="28"/>
        </w:rPr>
        <w:t xml:space="preserve"> </w:t>
      </w:r>
      <w:r w:rsidR="006F4334">
        <w:rPr>
          <w:rFonts w:ascii="Times New Roman" w:hAnsi="Times New Roman" w:cs="Times New Roman"/>
          <w:sz w:val="28"/>
          <w:szCs w:val="28"/>
        </w:rPr>
        <w:t>З</w:t>
      </w:r>
      <w:r w:rsidR="006B7558" w:rsidRPr="00BA3759">
        <w:rPr>
          <w:rFonts w:ascii="Times New Roman" w:hAnsi="Times New Roman" w:cs="Times New Roman"/>
          <w:sz w:val="28"/>
          <w:szCs w:val="28"/>
        </w:rPr>
        <w:t>аключение</w:t>
      </w:r>
      <w:r w:rsidR="00C92D64">
        <w:rPr>
          <w:rFonts w:ascii="Times New Roman" w:hAnsi="Times New Roman" w:cs="Times New Roman"/>
          <w:sz w:val="28"/>
          <w:szCs w:val="28"/>
        </w:rPr>
        <w:t>.</w:t>
      </w:r>
    </w:p>
    <w:p w:rsidR="006B7558" w:rsidRPr="00BA3759" w:rsidRDefault="00B81F72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F4334">
        <w:rPr>
          <w:rFonts w:ascii="Times New Roman" w:hAnsi="Times New Roman" w:cs="Times New Roman"/>
          <w:sz w:val="28"/>
          <w:szCs w:val="28"/>
        </w:rPr>
        <w:t>.</w:t>
      </w:r>
      <w:r w:rsidR="006B7558" w:rsidRPr="00BA3759">
        <w:rPr>
          <w:rFonts w:ascii="Times New Roman" w:hAnsi="Times New Roman" w:cs="Times New Roman"/>
          <w:sz w:val="28"/>
          <w:szCs w:val="28"/>
        </w:rPr>
        <w:t xml:space="preserve"> </w:t>
      </w:r>
      <w:r w:rsidR="006F4334">
        <w:rPr>
          <w:rFonts w:ascii="Times New Roman" w:hAnsi="Times New Roman" w:cs="Times New Roman"/>
          <w:sz w:val="28"/>
          <w:szCs w:val="28"/>
        </w:rPr>
        <w:t>С</w:t>
      </w:r>
      <w:r w:rsidR="006B7558" w:rsidRPr="00BA3759">
        <w:rPr>
          <w:rFonts w:ascii="Times New Roman" w:hAnsi="Times New Roman" w:cs="Times New Roman"/>
          <w:sz w:val="28"/>
          <w:szCs w:val="28"/>
        </w:rPr>
        <w:t xml:space="preserve">писок литературы (в том числе источники не старше </w:t>
      </w:r>
      <w:r w:rsidR="006F4334">
        <w:rPr>
          <w:rFonts w:ascii="Times New Roman" w:hAnsi="Times New Roman" w:cs="Times New Roman"/>
          <w:sz w:val="28"/>
          <w:szCs w:val="28"/>
        </w:rPr>
        <w:t>трех</w:t>
      </w:r>
      <w:r w:rsidR="00C92D64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6B7558" w:rsidRPr="00BA3759" w:rsidRDefault="00B81F72" w:rsidP="00FA5F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4334">
        <w:rPr>
          <w:rFonts w:ascii="Times New Roman" w:hAnsi="Times New Roman" w:cs="Times New Roman"/>
          <w:sz w:val="28"/>
          <w:szCs w:val="28"/>
        </w:rPr>
        <w:t>.</w:t>
      </w:r>
      <w:r w:rsidR="006B7558" w:rsidRPr="00BA3759">
        <w:rPr>
          <w:rFonts w:ascii="Times New Roman" w:hAnsi="Times New Roman" w:cs="Times New Roman"/>
          <w:sz w:val="28"/>
          <w:szCs w:val="28"/>
        </w:rPr>
        <w:t xml:space="preserve"> </w:t>
      </w:r>
      <w:r w:rsidR="006F4334">
        <w:rPr>
          <w:rFonts w:ascii="Times New Roman" w:hAnsi="Times New Roman" w:cs="Times New Roman"/>
          <w:sz w:val="28"/>
          <w:szCs w:val="28"/>
        </w:rPr>
        <w:t>П</w:t>
      </w:r>
      <w:r w:rsidR="006B7558" w:rsidRPr="00BA3759">
        <w:rPr>
          <w:rFonts w:ascii="Times New Roman" w:hAnsi="Times New Roman" w:cs="Times New Roman"/>
          <w:sz w:val="28"/>
          <w:szCs w:val="28"/>
        </w:rPr>
        <w:t>риложения.</w:t>
      </w:r>
    </w:p>
    <w:p w:rsidR="00666A8D" w:rsidRDefault="0066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6A8D" w:rsidRDefault="00666A8D" w:rsidP="00666A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916BE">
        <w:rPr>
          <w:rFonts w:ascii="Times New Roman" w:hAnsi="Times New Roman" w:cs="Times New Roman"/>
          <w:b/>
          <w:i/>
          <w:spacing w:val="-2"/>
          <w:sz w:val="28"/>
          <w:szCs w:val="28"/>
          <w:lang w:eastAsia="x-none"/>
        </w:rPr>
        <w:lastRenderedPageBreak/>
        <w:t xml:space="preserve">Во введении </w:t>
      </w:r>
      <w:r w:rsidRPr="005916BE">
        <w:rPr>
          <w:rFonts w:ascii="Times New Roman" w:hAnsi="Times New Roman" w:cs="Times New Roman"/>
          <w:spacing w:val="-2"/>
          <w:sz w:val="28"/>
          <w:szCs w:val="28"/>
          <w:lang w:eastAsia="x-none"/>
        </w:rPr>
        <w:t>обозначается проблема, избранная для изучения, дается обоснование выбора темы, раскрывается актуальность темы исследования, подтверждаемая статистическими данными и фактами. Далее определяются временные, территориальные и организационные границы исследуемой проблемы. Затем необходимо раскрыть степень проработанности выбранной проблематики в литературных источниках; необходимо указать наиболее известных российских и зарубежных ученых, занимавшихся (или занимающихся) данной проблемой. Далее формулируется объект и предмет исследования, цель и задачи, характеризуется структура, методы исследования и источники информации, использованные для написания данной работы.</w:t>
      </w:r>
      <w:r w:rsidRPr="005916BE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</w:p>
    <w:p w:rsidR="00666A8D" w:rsidRDefault="00666A8D" w:rsidP="00666A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5916BE">
        <w:rPr>
          <w:rFonts w:ascii="Times New Roman" w:hAnsi="Times New Roman" w:cs="Times New Roman"/>
          <w:sz w:val="28"/>
          <w:szCs w:val="28"/>
          <w:lang w:eastAsia="x-none"/>
        </w:rPr>
        <w:t>Важным</w:t>
      </w:r>
      <w:r>
        <w:rPr>
          <w:rFonts w:ascii="Times New Roman" w:hAnsi="Times New Roman" w:cs="Times New Roman"/>
          <w:sz w:val="28"/>
          <w:szCs w:val="28"/>
          <w:lang w:eastAsia="x-none"/>
        </w:rPr>
        <w:t>и</w:t>
      </w:r>
      <w:r w:rsidRPr="005916BE">
        <w:rPr>
          <w:rFonts w:ascii="Times New Roman" w:hAnsi="Times New Roman" w:cs="Times New Roman"/>
          <w:sz w:val="28"/>
          <w:szCs w:val="28"/>
          <w:lang w:eastAsia="x-none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eastAsia="x-none"/>
        </w:rPr>
        <w:t>ами</w:t>
      </w:r>
      <w:r w:rsidRPr="005916BE">
        <w:rPr>
          <w:rFonts w:ascii="Times New Roman" w:hAnsi="Times New Roman" w:cs="Times New Roman"/>
          <w:sz w:val="28"/>
          <w:szCs w:val="28"/>
          <w:lang w:eastAsia="x-none"/>
        </w:rPr>
        <w:t xml:space="preserve"> введения явля</w:t>
      </w:r>
      <w:r>
        <w:rPr>
          <w:rFonts w:ascii="Times New Roman" w:hAnsi="Times New Roman" w:cs="Times New Roman"/>
          <w:sz w:val="28"/>
          <w:szCs w:val="28"/>
          <w:lang w:eastAsia="x-none"/>
        </w:rPr>
        <w:t>ю</w:t>
      </w:r>
      <w:r w:rsidRPr="005916BE">
        <w:rPr>
          <w:rFonts w:ascii="Times New Roman" w:hAnsi="Times New Roman" w:cs="Times New Roman"/>
          <w:sz w:val="28"/>
          <w:szCs w:val="28"/>
          <w:lang w:eastAsia="x-none"/>
        </w:rPr>
        <w:t>тся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научная новизна и </w:t>
      </w:r>
      <w:r w:rsidRPr="005916BE">
        <w:rPr>
          <w:rFonts w:ascii="Times New Roman" w:hAnsi="Times New Roman" w:cs="Times New Roman"/>
          <w:sz w:val="28"/>
          <w:szCs w:val="28"/>
          <w:lang w:eastAsia="x-none"/>
        </w:rPr>
        <w:t>практическая значимость проведенного исследования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666A8D" w:rsidRPr="00C02D56" w:rsidRDefault="00666A8D" w:rsidP="00666A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2A5B9E">
        <w:rPr>
          <w:rFonts w:ascii="Times New Roman" w:hAnsi="Times New Roman" w:cs="Times New Roman"/>
          <w:i/>
          <w:sz w:val="28"/>
          <w:szCs w:val="28"/>
          <w:lang w:eastAsia="x-none"/>
        </w:rPr>
        <w:t>Научная новизна</w:t>
      </w:r>
      <w:r w:rsidRPr="00C02D56">
        <w:rPr>
          <w:rFonts w:ascii="Times New Roman" w:hAnsi="Times New Roman" w:cs="Times New Roman"/>
          <w:sz w:val="28"/>
          <w:szCs w:val="28"/>
          <w:lang w:eastAsia="x-none"/>
        </w:rPr>
        <w:t xml:space="preserve"> может быть сформулирована следующим образом – «Научная новизна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курсовой </w:t>
      </w:r>
      <w:r w:rsidRPr="00C02D56">
        <w:rPr>
          <w:rFonts w:ascii="Times New Roman" w:hAnsi="Times New Roman" w:cs="Times New Roman"/>
          <w:sz w:val="28"/>
          <w:szCs w:val="28"/>
          <w:lang w:eastAsia="x-none"/>
        </w:rPr>
        <w:t xml:space="preserve"> работы заключается </w:t>
      </w:r>
      <w:proofErr w:type="gramStart"/>
      <w:r w:rsidRPr="00C02D56">
        <w:rPr>
          <w:rFonts w:ascii="Times New Roman" w:hAnsi="Times New Roman" w:cs="Times New Roman"/>
          <w:sz w:val="28"/>
          <w:szCs w:val="28"/>
          <w:lang w:eastAsia="x-none"/>
        </w:rPr>
        <w:t>в</w:t>
      </w:r>
      <w:proofErr w:type="gramEnd"/>
      <w:r w:rsidRPr="00C02D56">
        <w:rPr>
          <w:rFonts w:ascii="Times New Roman" w:hAnsi="Times New Roman" w:cs="Times New Roman"/>
          <w:sz w:val="28"/>
          <w:szCs w:val="28"/>
          <w:lang w:eastAsia="x-none"/>
        </w:rPr>
        <w:t xml:space="preserve"> …». Далее уточняется вклад </w:t>
      </w:r>
      <w:proofErr w:type="gramStart"/>
      <w:r w:rsidRPr="00C02D56">
        <w:rPr>
          <w:rFonts w:ascii="Times New Roman" w:hAnsi="Times New Roman" w:cs="Times New Roman"/>
          <w:sz w:val="28"/>
          <w:szCs w:val="28"/>
          <w:lang w:eastAsia="x-none"/>
        </w:rPr>
        <w:t>обучающегося</w:t>
      </w:r>
      <w:proofErr w:type="gramEnd"/>
      <w:r w:rsidRPr="00C02D56">
        <w:rPr>
          <w:rFonts w:ascii="Times New Roman" w:hAnsi="Times New Roman" w:cs="Times New Roman"/>
          <w:sz w:val="28"/>
          <w:szCs w:val="28"/>
          <w:lang w:eastAsia="x-none"/>
        </w:rPr>
        <w:t xml:space="preserve"> в разработку выбранной темы. Может быть указан один из вариантов (или предложена своя формулировка):</w:t>
      </w:r>
    </w:p>
    <w:p w:rsidR="00666A8D" w:rsidRPr="00C02D56" w:rsidRDefault="00666A8D" w:rsidP="00666A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02D56">
        <w:rPr>
          <w:rFonts w:ascii="Times New Roman" w:hAnsi="Times New Roman" w:cs="Times New Roman"/>
          <w:sz w:val="28"/>
          <w:szCs w:val="28"/>
          <w:lang w:eastAsia="x-none"/>
        </w:rPr>
        <w:t>– в разработке теоретических положений исследуемой проблемы в точки зрения одного или нескольких (указать каких) подходов;</w:t>
      </w:r>
    </w:p>
    <w:p w:rsidR="00666A8D" w:rsidRPr="00C02D56" w:rsidRDefault="00666A8D" w:rsidP="00666A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02D56">
        <w:rPr>
          <w:rFonts w:ascii="Times New Roman" w:hAnsi="Times New Roman" w:cs="Times New Roman"/>
          <w:sz w:val="28"/>
          <w:szCs w:val="28"/>
          <w:lang w:eastAsia="x-none"/>
        </w:rPr>
        <w:t>– в систематизации существующих точек зрения на понимание какого-либо экономического явления или экономической категории;</w:t>
      </w:r>
    </w:p>
    <w:p w:rsidR="00666A8D" w:rsidRPr="00C02D56" w:rsidRDefault="00666A8D" w:rsidP="00666A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02D56">
        <w:rPr>
          <w:rFonts w:ascii="Times New Roman" w:hAnsi="Times New Roman" w:cs="Times New Roman"/>
          <w:sz w:val="28"/>
          <w:szCs w:val="28"/>
          <w:lang w:eastAsia="x-none"/>
        </w:rPr>
        <w:t>– в представлении авторской точки зрения на понимание какого-либо экономического явления, процесса;</w:t>
      </w:r>
    </w:p>
    <w:p w:rsidR="00666A8D" w:rsidRPr="00C02D56" w:rsidRDefault="00666A8D" w:rsidP="00666A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02D56">
        <w:rPr>
          <w:rFonts w:ascii="Times New Roman" w:hAnsi="Times New Roman" w:cs="Times New Roman"/>
          <w:sz w:val="28"/>
          <w:szCs w:val="28"/>
          <w:lang w:eastAsia="x-none"/>
        </w:rPr>
        <w:t>– в уточнении, например, признаков, функций, принципов, классификации с указанием авторского вклада;</w:t>
      </w:r>
    </w:p>
    <w:p w:rsidR="00666A8D" w:rsidRPr="0022360A" w:rsidRDefault="00666A8D" w:rsidP="00666A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x-none"/>
        </w:rPr>
      </w:pPr>
      <w:r w:rsidRPr="00C02D56">
        <w:rPr>
          <w:rFonts w:ascii="Times New Roman" w:hAnsi="Times New Roman" w:cs="Times New Roman"/>
          <w:sz w:val="28"/>
          <w:szCs w:val="28"/>
          <w:lang w:eastAsia="x-none"/>
        </w:rPr>
        <w:t>– в разработке рекомендаций и предложений по развитию, совершенствованию процессов и явлений, выходу из кризиса и т.д. для предприятия – объекта исследования.</w:t>
      </w:r>
    </w:p>
    <w:p w:rsidR="00666A8D" w:rsidRDefault="00666A8D" w:rsidP="00666A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Практическая значимость раскрывает,</w:t>
      </w:r>
      <w:r w:rsidRPr="005916BE">
        <w:rPr>
          <w:rFonts w:ascii="Times New Roman" w:hAnsi="Times New Roman" w:cs="Times New Roman"/>
          <w:sz w:val="28"/>
          <w:szCs w:val="28"/>
          <w:lang w:eastAsia="x-none"/>
        </w:rPr>
        <w:t xml:space="preserve"> с решением каких конкретных управленческих задач связано проводимое исследование.</w:t>
      </w:r>
    </w:p>
    <w:p w:rsidR="00666A8D" w:rsidRDefault="00666A8D" w:rsidP="00666A8D">
      <w:pPr>
        <w:widowControl w:val="0"/>
        <w:shd w:val="clear" w:color="000000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>Содержание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должно включать все части </w:t>
      </w:r>
      <w:r w:rsidR="00E64A3D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 обязательным указанием страниц. </w:t>
      </w:r>
    </w:p>
    <w:p w:rsidR="00E64A3D" w:rsidRDefault="00666A8D" w:rsidP="00666A8D">
      <w:pPr>
        <w:widowControl w:val="0"/>
        <w:shd w:val="clear" w:color="000000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x-none"/>
        </w:rPr>
        <w:t>Основная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работы включает </w:t>
      </w:r>
      <w:r w:rsidR="00E64A3D">
        <w:rPr>
          <w:rFonts w:ascii="Times New Roman" w:eastAsia="Times New Roman" w:hAnsi="Times New Roman" w:cs="Times New Roman"/>
          <w:sz w:val="28"/>
          <w:szCs w:val="28"/>
          <w:lang w:eastAsia="x-none"/>
        </w:rPr>
        <w:t>первую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глав</w:t>
      </w:r>
      <w:r w:rsidR="00E64A3D">
        <w:rPr>
          <w:rFonts w:ascii="Times New Roman" w:eastAsia="Times New Roman" w:hAnsi="Times New Roman" w:cs="Times New Roman"/>
          <w:sz w:val="28"/>
          <w:szCs w:val="28"/>
          <w:lang w:eastAsia="x-none"/>
        </w:rPr>
        <w:t>у будущей магистерской диссертации.</w:t>
      </w:r>
    </w:p>
    <w:p w:rsidR="00666A8D" w:rsidRDefault="00666A8D" w:rsidP="00666A8D">
      <w:pPr>
        <w:widowControl w:val="0"/>
        <w:shd w:val="clear" w:color="000000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x-none"/>
        </w:rPr>
        <w:t xml:space="preserve">Первая глава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носит теоретико-методологический характер. В ней на основе анализа справочной и научной литературы, нормативно-технической документации, статистических материалов, систематизации современных экономических исследований рассматриваются основные подходы к изучению заявленной проблемы, приводятся позиции российских и зарубежных ученых, раскрываются различные стороны изучаемого вопроса. В данной части работы должны быть представлены определения всех основных теоретических понятий со ссылками на их источник. </w:t>
      </w:r>
    </w:p>
    <w:p w:rsidR="00666A8D" w:rsidRDefault="00666A8D" w:rsidP="00666A8D">
      <w:pPr>
        <w:widowControl w:val="0"/>
        <w:shd w:val="clear" w:color="000000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Студент может представить абстрактно-логическую модель исследуемого объекта, процесса, экономического явления, описать соответствующий механизм действия, существующие методы и методики </w:t>
      </w:r>
      <w:r>
        <w:rPr>
          <w:rFonts w:ascii="Times New Roman" w:hAnsi="Times New Roman" w:cs="Times New Roman"/>
          <w:sz w:val="28"/>
          <w:szCs w:val="28"/>
          <w:lang w:eastAsia="x-none"/>
        </w:rPr>
        <w:lastRenderedPageBreak/>
        <w:t>анализа, обосновать возможность их применения на практике.</w:t>
      </w:r>
    </w:p>
    <w:p w:rsidR="00666A8D" w:rsidRDefault="00666A8D" w:rsidP="00666A8D">
      <w:pPr>
        <w:widowControl w:val="0"/>
        <w:shd w:val="clear" w:color="000000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Возможно использование статистического материала, что позволяет более аргументировано защищать то или иное высказывание. Примерный объем первой главы должен составлять 15-20 страниц.</w:t>
      </w:r>
    </w:p>
    <w:p w:rsidR="00666A8D" w:rsidRDefault="00666A8D" w:rsidP="00666A8D">
      <w:pPr>
        <w:widowControl w:val="0"/>
        <w:shd w:val="clear" w:color="000000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содержит выводы по проведенному исследованию, конкретные предложения и рекомендации.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рекомендуется писать в виде тезисов объемом в 3-4 страницы.</w:t>
      </w:r>
    </w:p>
    <w:p w:rsidR="00666A8D" w:rsidRDefault="00666A8D" w:rsidP="00666A8D">
      <w:pPr>
        <w:widowControl w:val="0"/>
        <w:shd w:val="clear" w:color="000000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x-none"/>
        </w:rPr>
        <w:t>Список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  <w:t> использованных источников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помещается в конце работы. В него включаются только те издания, которые действительно были использованы в процессе подготовки работы. На каждый источник в тексте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должна быть ссылка. </w:t>
      </w:r>
    </w:p>
    <w:p w:rsidR="00666A8D" w:rsidRDefault="00666A8D" w:rsidP="00666A8D">
      <w:pPr>
        <w:widowControl w:val="0"/>
        <w:shd w:val="clear" w:color="000000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x-none"/>
        </w:rPr>
        <w:t>Приложения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являются вспомогательным материалом к основному содержанию работы, подтверждающим отдельные положения, выводы, предложения. </w:t>
      </w:r>
      <w:r>
        <w:rPr>
          <w:rFonts w:ascii="Times New Roman" w:hAnsi="Times New Roman" w:cs="Times New Roman"/>
          <w:sz w:val="28"/>
          <w:szCs w:val="28"/>
          <w:lang w:eastAsia="x-none"/>
        </w:rPr>
        <w:t>В приложения включают связанные с выполнением ВКР материалы, которые по каким-либо причинам не могут быть внесены в основную часть – справочные материалы, таблицы, схемы, диаграммы, нормативные документы, образцы документов, методики, инструкции, анкеты, бухгалтерская отчетность предприятия. Схемы и рисунки из основного текста также выносятся в приложения, если занимают более 1 листа.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666A8D" w:rsidRDefault="00666A8D">
      <w:pPr>
        <w:rPr>
          <w:rFonts w:ascii="Times New Roman" w:eastAsia="Cambria" w:hAnsi="Times New Roman" w:cs="Cambria"/>
          <w:b/>
          <w:sz w:val="28"/>
          <w:szCs w:val="28"/>
          <w:lang w:eastAsia="ru-RU"/>
        </w:rPr>
      </w:pPr>
      <w:r>
        <w:rPr>
          <w:caps/>
        </w:rPr>
        <w:br w:type="page"/>
      </w:r>
    </w:p>
    <w:p w:rsidR="00F52960" w:rsidRDefault="001C0D2F" w:rsidP="005609BB">
      <w:pPr>
        <w:pStyle w:val="1"/>
        <w:keepNext w:val="0"/>
        <w:keepLines w:val="0"/>
        <w:widowControl w:val="0"/>
        <w:spacing w:before="0"/>
        <w:ind w:firstLine="709"/>
      </w:pPr>
      <w:r>
        <w:rPr>
          <w:caps w:val="0"/>
        </w:rPr>
        <w:lastRenderedPageBreak/>
        <w:t>Требования к оформлению практики</w:t>
      </w:r>
    </w:p>
    <w:p w:rsidR="00F52960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x-none"/>
        </w:rPr>
      </w:pPr>
    </w:p>
    <w:p w:rsidR="00F52960" w:rsidRPr="0022360A" w:rsidRDefault="00F52960" w:rsidP="005609B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5D3406">
        <w:rPr>
          <w:sz w:val="28"/>
          <w:szCs w:val="28"/>
        </w:rPr>
        <w:t xml:space="preserve">Правила оформления пояснительной записки и графического материала регламентируется системой стандартов по информационному, библиотечному и издательскому </w:t>
      </w:r>
      <w:r w:rsidRPr="00295BCB">
        <w:rPr>
          <w:color w:val="auto"/>
          <w:sz w:val="28"/>
          <w:szCs w:val="28"/>
        </w:rPr>
        <w:t>делу (</w:t>
      </w:r>
      <w:r w:rsidRPr="00295BCB">
        <w:rPr>
          <w:color w:val="auto"/>
          <w:sz w:val="28"/>
          <w:szCs w:val="28"/>
          <w:shd w:val="clear" w:color="auto" w:fill="FFFFFF"/>
        </w:rPr>
        <w:t>ГОСТ 7.1-2003, ГОСТ Р 7.0.5-2008).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0" w:name="_Toc401761636"/>
      <w:bookmarkStart w:id="1" w:name="_Toc401774514"/>
      <w:bookmarkStart w:id="2" w:name="_Toc405486050"/>
      <w:r w:rsidRPr="004A4246">
        <w:t>1 Оформление текста</w:t>
      </w:r>
      <w:bookmarkEnd w:id="0"/>
      <w:bookmarkEnd w:id="1"/>
      <w:bookmarkEnd w:id="2"/>
    </w:p>
    <w:p w:rsidR="00F52960" w:rsidRPr="004A4246" w:rsidRDefault="003C7605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="00F52960" w:rsidRPr="004A4246">
        <w:rPr>
          <w:rFonts w:ascii="Times New Roman" w:hAnsi="Times New Roman" w:cs="Times New Roman"/>
          <w:sz w:val="28"/>
          <w:szCs w:val="28"/>
        </w:rPr>
        <w:t xml:space="preserve"> оформляется в виде текста, подготовленного на персональном компьютере с помощью текстового редактора и отпечатанного на принтере на листах формата А4 с одной стороны листа. Текст на листе должен иметь книжную ориентацию, альбомная ориентация допускается только для приложений.</w:t>
      </w:r>
      <w:r w:rsidR="00F52960" w:rsidRPr="00E27DB3">
        <w:rPr>
          <w:rFonts w:ascii="Times New Roman" w:hAnsi="Times New Roman" w:cs="Times New Roman"/>
          <w:sz w:val="28"/>
          <w:szCs w:val="28"/>
        </w:rPr>
        <w:t xml:space="preserve"> </w:t>
      </w:r>
      <w:r w:rsidR="00F52960">
        <w:rPr>
          <w:rFonts w:ascii="Times New Roman" w:hAnsi="Times New Roman" w:cs="Times New Roman"/>
          <w:sz w:val="28"/>
          <w:szCs w:val="28"/>
        </w:rPr>
        <w:t>Текст работы</w:t>
      </w:r>
      <w:r w:rsidR="00F52960" w:rsidRPr="004A4246">
        <w:rPr>
          <w:rFonts w:ascii="Times New Roman" w:hAnsi="Times New Roman" w:cs="Times New Roman"/>
          <w:sz w:val="28"/>
          <w:szCs w:val="28"/>
        </w:rPr>
        <w:t xml:space="preserve"> выполняется на русском языке. Допускается параллельное оформление текста </w:t>
      </w:r>
      <w:r w:rsidR="00F5296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F52960" w:rsidRPr="004A4246">
        <w:rPr>
          <w:rFonts w:ascii="Times New Roman" w:hAnsi="Times New Roman" w:cs="Times New Roman"/>
          <w:sz w:val="28"/>
          <w:szCs w:val="28"/>
        </w:rPr>
        <w:t>или ее части на иностранном языке в форме дополнительного приложения.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Цвет шрифта – черный. Размер шрифта (кегль) – 14. Тип</w:t>
      </w:r>
      <w:r w:rsidRPr="00F529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</w:rPr>
        <w:t>шрифта</w:t>
      </w:r>
      <w:r w:rsidRPr="00F5296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4A4246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F529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F529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F5296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A4246">
        <w:rPr>
          <w:rFonts w:ascii="Times New Roman" w:hAnsi="Times New Roman" w:cs="Times New Roman"/>
          <w:sz w:val="28"/>
          <w:szCs w:val="28"/>
        </w:rPr>
        <w:t>Интервал основного текста – 1,5. Шрифт печати должен быть прямым, четким, черного цвета, одинаковым по всему объему текста.</w:t>
      </w:r>
      <w:r w:rsidRPr="004A42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</w:rPr>
        <w:t>В тексте работы не допускаются</w:t>
      </w:r>
      <w:r w:rsidRPr="004A42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</w:rPr>
        <w:t>какие-либо выделения полужирным шрифтом или курсивом. Текст обязательно выравнивается по ширине. Сокращения слов в тексте (за исключением общепринятых) не допускаются.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Текст работы необходимо разбивать на абзацы</w:t>
      </w:r>
      <w:r>
        <w:rPr>
          <w:rFonts w:ascii="Times New Roman" w:hAnsi="Times New Roman" w:cs="Times New Roman"/>
          <w:sz w:val="28"/>
          <w:szCs w:val="28"/>
        </w:rPr>
        <w:t>, которыми</w:t>
      </w:r>
      <w:r w:rsidRPr="004A4246">
        <w:rPr>
          <w:rFonts w:ascii="Times New Roman" w:hAnsi="Times New Roman" w:cs="Times New Roman"/>
          <w:sz w:val="28"/>
          <w:szCs w:val="28"/>
        </w:rPr>
        <w:t xml:space="preserve"> выделяются тесно связанные между собой и объединенные по смыслу части текста. Размер абзацного отступа - </w:t>
      </w:r>
      <w:smartTag w:uri="urn:schemas-microsoft-com:office:smarttags" w:element="metricconverter">
        <w:smartTagPr>
          <w:attr w:name="ProductID" w:val="1,25 с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1,25 см</w:t>
        </w:r>
      </w:smartTag>
      <w:r w:rsidRPr="004A42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Страница с текстом должна иметь левое поле </w:t>
      </w:r>
      <w:smartTag w:uri="urn:schemas-microsoft-com:office:smarttags" w:element="metricconverter">
        <w:smartTagPr>
          <w:attr w:name="ProductID" w:val="30 м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4A4246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прошива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), правое – </w:t>
      </w:r>
      <w:smartTag w:uri="urn:schemas-microsoft-com:office:smarttags" w:element="metricconverter">
        <w:smartTagPr>
          <w:attr w:name="ProductID" w:val="10 м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t>0</w:t>
        </w:r>
        <w:r w:rsidRPr="004A4246">
          <w:rPr>
            <w:rFonts w:ascii="Times New Roman" w:hAnsi="Times New Roman" w:cs="Times New Roman"/>
            <w:sz w:val="28"/>
            <w:szCs w:val="28"/>
          </w:rPr>
          <w:t xml:space="preserve"> мм</w:t>
        </w:r>
      </w:smartTag>
      <w:r w:rsidRPr="004A4246">
        <w:rPr>
          <w:rFonts w:ascii="Times New Roman" w:hAnsi="Times New Roman" w:cs="Times New Roman"/>
          <w:sz w:val="28"/>
          <w:szCs w:val="28"/>
        </w:rPr>
        <w:t xml:space="preserve">, верхнее и нижнее </w:t>
      </w:r>
      <w:smartTag w:uri="urn:schemas-microsoft-com:office:smarttags" w:element="metricconverter">
        <w:smartTagPr>
          <w:attr w:name="ProductID" w:val="20 м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4A4246">
        <w:rPr>
          <w:rFonts w:ascii="Times New Roman" w:hAnsi="Times New Roman" w:cs="Times New Roman"/>
          <w:sz w:val="28"/>
          <w:szCs w:val="28"/>
        </w:rPr>
        <w:t>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Страницы работы нумеруются арабскими цифрами (нумерация сквозная по всему тексту). Номер страницы ставится в центре </w:t>
      </w:r>
      <w:r>
        <w:rPr>
          <w:rFonts w:ascii="Times New Roman" w:hAnsi="Times New Roman" w:cs="Times New Roman"/>
          <w:sz w:val="28"/>
          <w:szCs w:val="28"/>
        </w:rPr>
        <w:t>нижн</w:t>
      </w:r>
      <w:r w:rsidRPr="004A4246">
        <w:rPr>
          <w:rFonts w:ascii="Times New Roman" w:hAnsi="Times New Roman" w:cs="Times New Roman"/>
          <w:sz w:val="28"/>
          <w:szCs w:val="28"/>
        </w:rPr>
        <w:t>его поля листа без точки. Титульный лист и задание включается в общую нумерацию, но номер на них не ставится. Размер шрифта (кегль)</w:t>
      </w:r>
      <w:r>
        <w:rPr>
          <w:rFonts w:ascii="Times New Roman" w:hAnsi="Times New Roman" w:cs="Times New Roman"/>
          <w:sz w:val="28"/>
          <w:szCs w:val="28"/>
        </w:rPr>
        <w:t xml:space="preserve"> нумерации страниц</w:t>
      </w:r>
      <w:r w:rsidRPr="004A4246">
        <w:rPr>
          <w:rFonts w:ascii="Times New Roman" w:hAnsi="Times New Roman" w:cs="Times New Roman"/>
          <w:sz w:val="28"/>
          <w:szCs w:val="28"/>
        </w:rPr>
        <w:t xml:space="preserve"> - 11. Тип шрифта -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. Страницы приложений включаются в общую нумерацию. В тексте используется «длинное тире», его клавиатурное сочетание в MS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Alt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+ минус на дополнительной клавиатуре. Используются только «кавычки-елочки».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  <w:rPr>
          <w:spacing w:val="-20"/>
        </w:rPr>
      </w:pPr>
      <w:bookmarkStart w:id="3" w:name="_Toc401761637"/>
      <w:bookmarkStart w:id="4" w:name="_Toc401774515"/>
      <w:bookmarkStart w:id="5" w:name="_Toc405486051"/>
      <w:r w:rsidRPr="004A4246">
        <w:t>2 Оформление заголовков</w:t>
      </w:r>
      <w:bookmarkEnd w:id="3"/>
      <w:bookmarkEnd w:id="4"/>
      <w:bookmarkEnd w:id="5"/>
    </w:p>
    <w:p w:rsidR="00F52960" w:rsidRPr="0006415B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15B">
        <w:rPr>
          <w:rFonts w:ascii="Times New Roman" w:eastAsia="Times New Roman" w:hAnsi="Times New Roman" w:cs="Times New Roman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0641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06415B">
        <w:rPr>
          <w:rFonts w:ascii="Times New Roman" w:eastAsia="Times New Roman" w:hAnsi="Times New Roman" w:cs="Times New Roman"/>
          <w:sz w:val="28"/>
          <w:szCs w:val="28"/>
        </w:rPr>
        <w:t xml:space="preserve"> начинается с новой страницы; это же правило относится к другим основным структурным частям работы (введению, заключению, списку использованных источников, приложениям и т. д.).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структурных частей работы</w:t>
      </w:r>
      <w:r w:rsidRPr="004A4246">
        <w:rPr>
          <w:rFonts w:ascii="Times New Roman" w:hAnsi="Times New Roman" w:cs="Times New Roman"/>
          <w:sz w:val="28"/>
          <w:szCs w:val="28"/>
        </w:rPr>
        <w:t xml:space="preserve"> располага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A4246">
        <w:rPr>
          <w:rFonts w:ascii="Times New Roman" w:hAnsi="Times New Roman" w:cs="Times New Roman"/>
          <w:sz w:val="28"/>
          <w:szCs w:val="28"/>
        </w:rPr>
        <w:t xml:space="preserve"> в середине строки (выравнивание по центру) и печата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A4246">
        <w:rPr>
          <w:rFonts w:ascii="Times New Roman" w:hAnsi="Times New Roman" w:cs="Times New Roman"/>
          <w:sz w:val="28"/>
          <w:szCs w:val="28"/>
        </w:rPr>
        <w:t xml:space="preserve"> прописными (заглавными) буквами без точки в кон</w:t>
      </w:r>
      <w:r>
        <w:rPr>
          <w:rFonts w:ascii="Times New Roman" w:hAnsi="Times New Roman" w:cs="Times New Roman"/>
          <w:sz w:val="28"/>
          <w:szCs w:val="28"/>
        </w:rPr>
        <w:t>це</w:t>
      </w:r>
      <w:r w:rsidRPr="003E14D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A4246">
        <w:rPr>
          <w:rFonts w:ascii="Times New Roman" w:hAnsi="Times New Roman" w:cs="Times New Roman"/>
          <w:sz w:val="28"/>
          <w:szCs w:val="28"/>
        </w:rPr>
        <w:t xml:space="preserve">азвания пунктов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4246">
        <w:rPr>
          <w:rFonts w:ascii="Times New Roman" w:hAnsi="Times New Roman" w:cs="Times New Roman"/>
          <w:sz w:val="28"/>
          <w:szCs w:val="28"/>
        </w:rPr>
        <w:t xml:space="preserve"> строчными буквами, при этом точки по окончании также не ставятся. 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Шрифт заголовков – 14 </w:t>
      </w:r>
      <w:r w:rsidRPr="004A4246">
        <w:rPr>
          <w:rFonts w:ascii="Times New Roman" w:hAnsi="Times New Roman" w:cs="Times New Roman"/>
          <w:sz w:val="28"/>
          <w:szCs w:val="28"/>
          <w:lang w:val="fr-FR"/>
        </w:rPr>
        <w:t xml:space="preserve">Times New Roman, </w:t>
      </w:r>
      <w:r w:rsidRPr="004A4246">
        <w:rPr>
          <w:rFonts w:ascii="Times New Roman" w:hAnsi="Times New Roman" w:cs="Times New Roman"/>
          <w:sz w:val="28"/>
          <w:szCs w:val="28"/>
        </w:rPr>
        <w:t>полужирный.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Главы нумеруются арабскими цифрами – 1, 2. Слово «Глава» не пишется, номер главы и ее название разделяются пробелом. Главы делятся на пункты. Номер пункта состоит из номера главы и номера пункта в главе </w:t>
      </w:r>
      <w:r w:rsidRPr="004A4246">
        <w:rPr>
          <w:rFonts w:ascii="Times New Roman" w:hAnsi="Times New Roman" w:cs="Times New Roman"/>
          <w:sz w:val="28"/>
          <w:szCs w:val="28"/>
        </w:rPr>
        <w:lastRenderedPageBreak/>
        <w:t xml:space="preserve">(например: 1.2 (1 – номер главы, 2 – номер пункта), 2.3 (2 – номер главы, 3 – номер пункта) и т.д.), разделенных точкой. В конце номера точка не ставится. В нумерации после цифр идет пробел. Заголовки  пунктов следует печатать по левому краю с абзацного отступа с прописной буквы, без точки в конце, не подчеркивая, полужирным шрифтом. Если заголовок состоит из двух предложений, их разделяют точкой. Разрыв слов при переносе не допускается. </w:t>
      </w:r>
    </w:p>
    <w:p w:rsidR="00F52960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Расстояние между заголовком и текстом оставляют равным </w:t>
      </w:r>
      <w:smartTag w:uri="urn:schemas-microsoft-com:office:smarttags" w:element="metricconverter">
        <w:smartTagPr>
          <w:attr w:name="ProductID" w:val="15 м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15 мм</w:t>
        </w:r>
      </w:smartTag>
      <w:r w:rsidRPr="004A4246">
        <w:rPr>
          <w:rFonts w:ascii="Times New Roman" w:hAnsi="Times New Roman" w:cs="Times New Roman"/>
          <w:sz w:val="28"/>
          <w:szCs w:val="28"/>
        </w:rPr>
        <w:t xml:space="preserve"> (одна пустая строка при полуторном межстрочном интервале). Расстояние между названием главы и пункта также </w:t>
      </w:r>
      <w:smartTag w:uri="urn:schemas-microsoft-com:office:smarttags" w:element="metricconverter">
        <w:smartTagPr>
          <w:attr w:name="ProductID" w:val="15 мм"/>
        </w:smartTagPr>
        <w:r w:rsidRPr="004A4246">
          <w:rPr>
            <w:rFonts w:ascii="Times New Roman" w:hAnsi="Times New Roman" w:cs="Times New Roman"/>
            <w:sz w:val="28"/>
            <w:szCs w:val="28"/>
          </w:rPr>
          <w:t>15 мм</w:t>
        </w:r>
      </w:smartTag>
      <w:r w:rsidRPr="004A4246">
        <w:rPr>
          <w:rFonts w:ascii="Times New Roman" w:hAnsi="Times New Roman" w:cs="Times New Roman"/>
          <w:sz w:val="28"/>
          <w:szCs w:val="28"/>
        </w:rPr>
        <w:t xml:space="preserve">. Пример оформления заголовков  и текста приведен в приложении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4246">
        <w:rPr>
          <w:rFonts w:ascii="Times New Roman" w:hAnsi="Times New Roman" w:cs="Times New Roman"/>
          <w:sz w:val="28"/>
          <w:szCs w:val="28"/>
        </w:rPr>
        <w:t>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6" w:name="_Toc401761638"/>
      <w:bookmarkStart w:id="7" w:name="_Toc401774516"/>
      <w:bookmarkStart w:id="8" w:name="_Toc405486052"/>
      <w:r w:rsidRPr="004A4246">
        <w:t>3 Оформление содержания</w:t>
      </w:r>
      <w:bookmarkEnd w:id="6"/>
      <w:bookmarkEnd w:id="7"/>
      <w:bookmarkEnd w:id="8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4A4246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4A4246">
        <w:rPr>
          <w:rFonts w:ascii="Times New Roman" w:hAnsi="Times New Roman" w:cs="Times New Roman"/>
          <w:sz w:val="28"/>
          <w:szCs w:val="28"/>
        </w:rPr>
        <w:t xml:space="preserve"> пишется прописными буквами посередине строки. 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Pr="00D60019">
        <w:rPr>
          <w:rFonts w:ascii="Times New Roman" w:hAnsi="Times New Roman" w:cs="Times New Roman"/>
          <w:snapToGrid w:val="0"/>
          <w:sz w:val="28"/>
          <w:szCs w:val="28"/>
        </w:rPr>
        <w:t xml:space="preserve">содержании </w:t>
      </w:r>
      <w:r w:rsidRPr="004A4246">
        <w:rPr>
          <w:rFonts w:ascii="Times New Roman" w:hAnsi="Times New Roman" w:cs="Times New Roman"/>
          <w:snapToGrid w:val="0"/>
          <w:sz w:val="28"/>
          <w:szCs w:val="28"/>
        </w:rPr>
        <w:t>перечисляются названия всех разделов, подразделов и последующих структурных элементов работы и указываются номера страниц их начала по тексту ВКР. Разделы должны быть сбалансированы по числу и уровням структурных элементов.</w:t>
      </w:r>
      <w:r w:rsidRPr="004A4246">
        <w:rPr>
          <w:rFonts w:ascii="Times New Roman" w:hAnsi="Times New Roman" w:cs="Times New Roman"/>
          <w:snapToGrid w:val="0"/>
          <w:color w:val="0000FF"/>
          <w:sz w:val="28"/>
          <w:szCs w:val="28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</w:rPr>
        <w:t>Наименования разделов ВКР, включенные в содержание, записываются прописными буквами, а названия пунктов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</w:rPr>
        <w:t xml:space="preserve">строчными буквами, начиная с прописной буквы. Желательно, чтобы содержание помещалось на одной странице (приложение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4A4246">
        <w:rPr>
          <w:rFonts w:ascii="Times New Roman" w:hAnsi="Times New Roman" w:cs="Times New Roman"/>
          <w:sz w:val="28"/>
          <w:szCs w:val="28"/>
        </w:rPr>
        <w:t>).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При формировании содержания рекомендуется использовать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автособираемое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оглавление (в </w:t>
      </w:r>
      <w:r w:rsidRPr="004A4246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A4246">
        <w:rPr>
          <w:rFonts w:ascii="Times New Roman" w:hAnsi="Times New Roman" w:cs="Times New Roman"/>
          <w:sz w:val="28"/>
          <w:szCs w:val="28"/>
        </w:rPr>
        <w:t xml:space="preserve"> </w:t>
      </w:r>
      <w:r w:rsidRPr="004A4246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A4246">
        <w:rPr>
          <w:rFonts w:ascii="Times New Roman" w:hAnsi="Times New Roman" w:cs="Times New Roman"/>
          <w:sz w:val="28"/>
          <w:szCs w:val="28"/>
        </w:rPr>
        <w:t xml:space="preserve">: Ссылки – Оглавление). Содержание может быть оформлено как скрытая таблица. Текст должен соответствовать содержанию. 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9" w:name="_Toc401761639"/>
      <w:bookmarkStart w:id="10" w:name="_Toc401774517"/>
      <w:bookmarkStart w:id="11" w:name="_Toc405486053"/>
      <w:r w:rsidRPr="004A4246">
        <w:t>4 Оформление рисунков</w:t>
      </w:r>
      <w:bookmarkEnd w:id="9"/>
      <w:bookmarkEnd w:id="10"/>
      <w:bookmarkEnd w:id="11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К рисункам относятся все графические изображения (схемы, графики, диаграммы, фотографии, рисунки). Рисунки располага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A4246">
        <w:rPr>
          <w:rFonts w:ascii="Times New Roman" w:hAnsi="Times New Roman" w:cs="Times New Roman"/>
          <w:sz w:val="28"/>
          <w:szCs w:val="28"/>
        </w:rPr>
        <w:t xml:space="preserve">ся непосредственно после текста, в котором они упоминаются впервые, или на следующей странице.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A4246">
        <w:rPr>
          <w:rFonts w:ascii="Times New Roman" w:hAnsi="Times New Roman" w:cs="Times New Roman"/>
          <w:sz w:val="28"/>
          <w:szCs w:val="28"/>
        </w:rPr>
        <w:t>умер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4A4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рисунков </w:t>
      </w:r>
      <w:r w:rsidRPr="004A4246">
        <w:rPr>
          <w:rFonts w:ascii="Times New Roman" w:hAnsi="Times New Roman" w:cs="Times New Roman"/>
          <w:sz w:val="28"/>
          <w:szCs w:val="28"/>
        </w:rPr>
        <w:t xml:space="preserve">арабскими цифрами, сквозная (1,2,3).  Допускается нумеровать рисунки в пределах раздела (главы), в этом </w:t>
      </w:r>
      <w:r>
        <w:rPr>
          <w:rFonts w:ascii="Times New Roman" w:hAnsi="Times New Roman" w:cs="Times New Roman"/>
          <w:sz w:val="28"/>
          <w:szCs w:val="28"/>
        </w:rPr>
        <w:t>случае номер рисунка состоит из</w:t>
      </w:r>
      <w:r w:rsidRPr="004A4246">
        <w:rPr>
          <w:rFonts w:ascii="Times New Roman" w:hAnsi="Times New Roman" w:cs="Times New Roman"/>
          <w:sz w:val="28"/>
          <w:szCs w:val="28"/>
        </w:rPr>
        <w:t xml:space="preserve"> номера главы и порядкового номера иллюстрации, разделенных точкой. Подпись к рисунку располагается под ним посередине строки</w:t>
      </w:r>
      <w:r>
        <w:rPr>
          <w:rFonts w:ascii="Times New Roman" w:hAnsi="Times New Roman" w:cs="Times New Roman"/>
          <w:sz w:val="28"/>
          <w:szCs w:val="28"/>
        </w:rPr>
        <w:t xml:space="preserve"> следующим образом</w:t>
      </w:r>
      <w:r w:rsidRPr="004A4246">
        <w:rPr>
          <w:rFonts w:ascii="Times New Roman" w:hAnsi="Times New Roman" w:cs="Times New Roman"/>
          <w:sz w:val="28"/>
          <w:szCs w:val="28"/>
        </w:rPr>
        <w:t xml:space="preserve">: «Рисунок 2 – Название». Точка в конце названия не ставится. Переносы слов в названиях рисунков не допускается. На все </w:t>
      </w:r>
      <w:r>
        <w:rPr>
          <w:rFonts w:ascii="Times New Roman" w:hAnsi="Times New Roman" w:cs="Times New Roman"/>
          <w:sz w:val="28"/>
          <w:szCs w:val="28"/>
        </w:rPr>
        <w:t>рисунки</w:t>
      </w:r>
      <w:r w:rsidRPr="004A4246">
        <w:rPr>
          <w:rFonts w:ascii="Times New Roman" w:hAnsi="Times New Roman" w:cs="Times New Roman"/>
          <w:sz w:val="28"/>
          <w:szCs w:val="28"/>
        </w:rPr>
        <w:t xml:space="preserve"> в тексте должны быть даны ссылки</w:t>
      </w:r>
      <w:r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  <w:r w:rsidRPr="004A4246">
        <w:rPr>
          <w:rFonts w:ascii="Times New Roman" w:hAnsi="Times New Roman" w:cs="Times New Roman"/>
          <w:sz w:val="28"/>
          <w:szCs w:val="28"/>
        </w:rPr>
        <w:t xml:space="preserve"> «... в соответствии с рисунком 1» или (см. рисунок 1). Пример оформления рисунков приведен в приложении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4246">
        <w:rPr>
          <w:rFonts w:ascii="Times New Roman" w:hAnsi="Times New Roman" w:cs="Times New Roman"/>
          <w:sz w:val="28"/>
          <w:szCs w:val="28"/>
        </w:rPr>
        <w:t>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Если в работе есть приложения, то рисунки каждого приложения обозначают отдельной нумерацией арабскими цифрами с добавлением впереди обозначения приложения (например: Рисунок А.3).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12" w:name="_Toc401761640"/>
      <w:bookmarkStart w:id="13" w:name="_Toc401774518"/>
      <w:bookmarkStart w:id="14" w:name="_Toc405486054"/>
      <w:r w:rsidRPr="004A4246">
        <w:t>5 Оформление таблиц</w:t>
      </w:r>
      <w:bookmarkEnd w:id="12"/>
      <w:bookmarkEnd w:id="13"/>
      <w:bookmarkEnd w:id="14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На все таблицы в тексте должны быть ссылки. Таблица должна располагаться непосредственно после текста, в котором она упоминается </w:t>
      </w:r>
      <w:r w:rsidRPr="004A4246">
        <w:rPr>
          <w:rFonts w:ascii="Times New Roman" w:hAnsi="Times New Roman" w:cs="Times New Roman"/>
          <w:sz w:val="28"/>
          <w:szCs w:val="28"/>
        </w:rPr>
        <w:lastRenderedPageBreak/>
        <w:t>впервые, или на следующей странице. Все таблицы нумеруются, нумерация сквозная (например, Таблица 1) или в пределах раздела (Таблица 1.1). Слово «Таблица» пишется полностью. Наличие у таблицы собственного названия обязательно. Название таблицы следует помещать над таблицей слева, с абзацного отступа в одну строку с ее номером через тире (например: Таблица 2.2 – Динамика доходов организации).  Название таблицы записывается тем, же шрифтом, что и основной текст, выделения жирным, курсивом и подчеркивания не допускаются. Точка в конце названия не ставится. При отсутствии отдельных данных в таблице следует ставить прочерк (тире). Переносы слов в названиях таблиц не допускается.</w:t>
      </w:r>
    </w:p>
    <w:p w:rsidR="00F52960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При переносе таблицы на следующую страницу название помещают только над первой частью. Над другими частями также слева пишут слово «Продолжение» и указывают номер таблицы (например, Продолжение таблицы 1). 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Заголовки столбцов и строк таблицы </w:t>
      </w:r>
      <w:r>
        <w:rPr>
          <w:rFonts w:ascii="Times New Roman" w:hAnsi="Times New Roman" w:cs="Times New Roman"/>
          <w:sz w:val="28"/>
          <w:szCs w:val="28"/>
        </w:rPr>
        <w:t>пишут</w:t>
      </w:r>
      <w:r w:rsidRPr="004A4246">
        <w:rPr>
          <w:rFonts w:ascii="Times New Roman" w:hAnsi="Times New Roman" w:cs="Times New Roman"/>
          <w:sz w:val="28"/>
          <w:szCs w:val="28"/>
        </w:rPr>
        <w:t xml:space="preserve"> с прописной буквы в единственном числе, а подзаголовки столбцов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столбцов и строк точки не ставят. Заголовки столбцов, как правило, записывают параллельно строкам таблицы, но при необходимости допускается их перпендикулярное расположение. Разделять заголовки и подзаголовки боковых столбцов и строк диагональными линиями не допускается.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Допускается применять в таблице размер шрифта меньший, чем в тексте, но не мен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4246">
        <w:rPr>
          <w:rFonts w:ascii="Times New Roman" w:hAnsi="Times New Roman" w:cs="Times New Roman"/>
          <w:sz w:val="28"/>
          <w:szCs w:val="28"/>
        </w:rPr>
        <w:t xml:space="preserve">е 10 кегля. Также допускается сокращение в таблицах межстрочного интервала до одного, если это не приводит к ухудшению визуального восприятия приведенных в них данных. Пример оформление таблиц представлен в приложении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A4246">
        <w:rPr>
          <w:rFonts w:ascii="Times New Roman" w:hAnsi="Times New Roman" w:cs="Times New Roman"/>
          <w:sz w:val="28"/>
          <w:szCs w:val="28"/>
        </w:rPr>
        <w:t>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15" w:name="_Toc401761641"/>
      <w:bookmarkStart w:id="16" w:name="_Toc401774519"/>
      <w:bookmarkStart w:id="17" w:name="_Toc405486055"/>
      <w:r w:rsidRPr="004A4246">
        <w:t>6 Правила написания буквенных аббревиатур</w:t>
      </w:r>
      <w:bookmarkEnd w:id="15"/>
      <w:bookmarkEnd w:id="16"/>
      <w:bookmarkEnd w:id="17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В тексте работы, кроме общепринятых аббревиатур, </w:t>
      </w:r>
      <w:r>
        <w:rPr>
          <w:rFonts w:ascii="Times New Roman" w:hAnsi="Times New Roman" w:cs="Times New Roman"/>
          <w:sz w:val="28"/>
          <w:szCs w:val="28"/>
        </w:rPr>
        <w:t>допускается использование</w:t>
      </w:r>
      <w:r w:rsidRPr="004A4246">
        <w:rPr>
          <w:rFonts w:ascii="Times New Roman" w:hAnsi="Times New Roman" w:cs="Times New Roman"/>
          <w:sz w:val="28"/>
          <w:szCs w:val="28"/>
        </w:rPr>
        <w:t xml:space="preserve"> вводимых автор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4246">
        <w:rPr>
          <w:rFonts w:ascii="Times New Roman" w:hAnsi="Times New Roman" w:cs="Times New Roman"/>
          <w:sz w:val="28"/>
          <w:szCs w:val="28"/>
        </w:rPr>
        <w:t xml:space="preserve"> буквенны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A4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аббревиатур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>, сокращённо обозначающие какие-либо понятия из соответствующих областей знания. При этом первое упоминание таких аббревиатур указывается в круглых скобках после полного наименования, в дальнейшем они употребляются в тексте без расшифровки. Если число сокращений превышает десять, то составляется список принятых сокращений, который помещается перед списком литературы.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18" w:name="_Toc401761642"/>
      <w:bookmarkStart w:id="19" w:name="_Toc401774520"/>
      <w:bookmarkStart w:id="20" w:name="_Toc405486056"/>
      <w:r w:rsidRPr="004A4246">
        <w:t>7 Правила представления формул, написания символов</w:t>
      </w:r>
      <w:bookmarkEnd w:id="18"/>
      <w:bookmarkEnd w:id="19"/>
      <w:bookmarkEnd w:id="20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A4246">
        <w:rPr>
          <w:rFonts w:ascii="Times New Roman" w:hAnsi="Times New Roman" w:cs="Times New Roman"/>
          <w:snapToGrid w:val="0"/>
          <w:sz w:val="28"/>
          <w:szCs w:val="28"/>
        </w:rPr>
        <w:t xml:space="preserve">Формулы и уравнения следует выделять из текста в отдельную строку.  </w:t>
      </w:r>
      <w:r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Pr="004A4246">
        <w:rPr>
          <w:rFonts w:ascii="Times New Roman" w:hAnsi="Times New Roman" w:cs="Times New Roman"/>
          <w:snapToGrid w:val="0"/>
          <w:sz w:val="28"/>
          <w:szCs w:val="28"/>
        </w:rPr>
        <w:t>ояснения к символам и коэффициентам приводятся сразу под формулой в той последовательности, в которой они идут в формуле. Все формулы нумеруются. Нумерация сквозная или в пределах раздела, номер проставляется арабскими цифрами в круглых скобках в крайнем правом положении на строке.</w:t>
      </w:r>
    </w:p>
    <w:p w:rsidR="00F52960" w:rsidRPr="004A4246" w:rsidRDefault="00F52960" w:rsidP="005609BB">
      <w:pPr>
        <w:pStyle w:val="21"/>
        <w:ind w:firstLine="709"/>
        <w:rPr>
          <w:sz w:val="28"/>
          <w:szCs w:val="28"/>
        </w:rPr>
      </w:pPr>
      <w:r w:rsidRPr="004A4246">
        <w:rPr>
          <w:sz w:val="28"/>
          <w:szCs w:val="28"/>
        </w:rPr>
        <w:lastRenderedPageBreak/>
        <w:t xml:space="preserve">Пример:               </w:t>
      </w:r>
    </w:p>
    <w:p w:rsidR="00F52960" w:rsidRPr="004A4246" w:rsidRDefault="00F52960" w:rsidP="005609BB">
      <w:pPr>
        <w:pStyle w:val="21"/>
        <w:ind w:firstLine="709"/>
        <w:jc w:val="right"/>
        <w:rPr>
          <w:sz w:val="28"/>
          <w:szCs w:val="28"/>
        </w:rPr>
      </w:pPr>
      <w:proofErr w:type="spellStart"/>
      <w:r w:rsidRPr="004A4246">
        <w:rPr>
          <w:sz w:val="28"/>
          <w:szCs w:val="28"/>
        </w:rPr>
        <w:t>Нд</w:t>
      </w:r>
      <w:proofErr w:type="spellEnd"/>
      <w:r w:rsidRPr="004A4246">
        <w:rPr>
          <w:sz w:val="28"/>
          <w:szCs w:val="28"/>
        </w:rPr>
        <w:t xml:space="preserve">  = </w:t>
      </w:r>
      <w:proofErr w:type="gramStart"/>
      <w:r w:rsidRPr="004A4246">
        <w:rPr>
          <w:sz w:val="28"/>
          <w:szCs w:val="28"/>
          <w:lang w:val="en-US"/>
        </w:rPr>
        <w:t>t</w:t>
      </w:r>
      <w:proofErr w:type="gramEnd"/>
      <w:r w:rsidRPr="004A4246">
        <w:rPr>
          <w:sz w:val="28"/>
          <w:szCs w:val="28"/>
        </w:rPr>
        <w:t>а / (</w:t>
      </w:r>
      <w:r w:rsidRPr="004A4246">
        <w:rPr>
          <w:sz w:val="28"/>
          <w:szCs w:val="28"/>
          <w:lang w:val="en-US"/>
        </w:rPr>
        <w:t>K</w:t>
      </w:r>
      <w:r w:rsidRPr="004A4246">
        <w:rPr>
          <w:sz w:val="28"/>
          <w:szCs w:val="28"/>
        </w:rPr>
        <w:t xml:space="preserve">ан * </w:t>
      </w:r>
      <w:r w:rsidRPr="004A4246">
        <w:rPr>
          <w:sz w:val="28"/>
          <w:szCs w:val="28"/>
          <w:lang w:val="en-US"/>
        </w:rPr>
        <w:t>q</w:t>
      </w:r>
      <w:r w:rsidRPr="004A4246">
        <w:rPr>
          <w:sz w:val="28"/>
          <w:szCs w:val="28"/>
        </w:rPr>
        <w:t xml:space="preserve">) * </w:t>
      </w:r>
      <w:r w:rsidRPr="004A4246">
        <w:rPr>
          <w:sz w:val="28"/>
          <w:szCs w:val="28"/>
          <w:lang w:val="en-US"/>
        </w:rPr>
        <w:t>K</w:t>
      </w:r>
      <w:proofErr w:type="spellStart"/>
      <w:r w:rsidRPr="004A4246">
        <w:rPr>
          <w:sz w:val="28"/>
          <w:szCs w:val="28"/>
        </w:rPr>
        <w:t>нп</w:t>
      </w:r>
      <w:proofErr w:type="spellEnd"/>
      <w:r w:rsidRPr="004A4246">
        <w:rPr>
          <w:sz w:val="28"/>
          <w:szCs w:val="28"/>
        </w:rPr>
        <w:t>,                                        (1.2)</w:t>
      </w:r>
    </w:p>
    <w:p w:rsidR="00F52960" w:rsidRPr="004A4246" w:rsidRDefault="00F52960" w:rsidP="005609BB">
      <w:pPr>
        <w:pStyle w:val="21"/>
        <w:ind w:firstLine="709"/>
        <w:rPr>
          <w:spacing w:val="0"/>
          <w:sz w:val="28"/>
          <w:szCs w:val="28"/>
        </w:rPr>
      </w:pPr>
      <w:r w:rsidRPr="004A4246">
        <w:rPr>
          <w:spacing w:val="0"/>
          <w:sz w:val="28"/>
          <w:szCs w:val="28"/>
        </w:rPr>
        <w:t xml:space="preserve">где   </w:t>
      </w:r>
      <w:proofErr w:type="gramStart"/>
      <w:r w:rsidRPr="004A4246">
        <w:rPr>
          <w:spacing w:val="0"/>
          <w:sz w:val="28"/>
          <w:szCs w:val="28"/>
          <w:lang w:val="en-US"/>
        </w:rPr>
        <w:t>t</w:t>
      </w:r>
      <w:proofErr w:type="gramEnd"/>
      <w:r w:rsidRPr="004A4246">
        <w:rPr>
          <w:spacing w:val="0"/>
          <w:sz w:val="28"/>
          <w:szCs w:val="28"/>
        </w:rPr>
        <w:t xml:space="preserve">а - время непрерывной автоматической работы; </w:t>
      </w:r>
    </w:p>
    <w:p w:rsidR="00F52960" w:rsidRDefault="00F52960" w:rsidP="005609BB">
      <w:pPr>
        <w:pStyle w:val="21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</w:t>
      </w:r>
      <w:proofErr w:type="gramStart"/>
      <w:r w:rsidRPr="004A4246">
        <w:rPr>
          <w:spacing w:val="0"/>
          <w:sz w:val="28"/>
          <w:szCs w:val="28"/>
          <w:lang w:val="en-US"/>
        </w:rPr>
        <w:t>K</w:t>
      </w:r>
      <w:r w:rsidRPr="004A4246">
        <w:rPr>
          <w:spacing w:val="0"/>
          <w:sz w:val="28"/>
          <w:szCs w:val="28"/>
        </w:rPr>
        <w:t>ан  -</w:t>
      </w:r>
      <w:proofErr w:type="gramEnd"/>
      <w:r w:rsidRPr="004A4246">
        <w:rPr>
          <w:spacing w:val="0"/>
          <w:sz w:val="28"/>
          <w:szCs w:val="28"/>
        </w:rPr>
        <w:t xml:space="preserve"> коэффициент использования оборудования по времени </w:t>
      </w:r>
      <w:r>
        <w:rPr>
          <w:spacing w:val="0"/>
          <w:sz w:val="28"/>
          <w:szCs w:val="28"/>
        </w:rPr>
        <w:t xml:space="preserve"> </w:t>
      </w:r>
    </w:p>
    <w:p w:rsidR="00F52960" w:rsidRPr="004A4246" w:rsidRDefault="00F52960" w:rsidP="005609BB">
      <w:pPr>
        <w:pStyle w:val="21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</w:t>
      </w:r>
      <w:r w:rsidRPr="004A4246">
        <w:rPr>
          <w:spacing w:val="0"/>
          <w:sz w:val="28"/>
          <w:szCs w:val="28"/>
        </w:rPr>
        <w:t>автоматической работы;</w:t>
      </w:r>
    </w:p>
    <w:p w:rsidR="00F52960" w:rsidRPr="004A4246" w:rsidRDefault="00F52960" w:rsidP="005609BB">
      <w:pPr>
        <w:pStyle w:val="21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</w:t>
      </w:r>
      <w:proofErr w:type="gramStart"/>
      <w:r w:rsidRPr="004A4246">
        <w:rPr>
          <w:spacing w:val="0"/>
          <w:sz w:val="28"/>
          <w:szCs w:val="28"/>
          <w:lang w:val="en-US"/>
        </w:rPr>
        <w:t>q</w:t>
      </w:r>
      <w:r w:rsidRPr="004A4246">
        <w:rPr>
          <w:spacing w:val="0"/>
          <w:sz w:val="28"/>
          <w:szCs w:val="28"/>
        </w:rPr>
        <w:t xml:space="preserve">  -</w:t>
      </w:r>
      <w:proofErr w:type="gramEnd"/>
      <w:r w:rsidRPr="004A4246">
        <w:rPr>
          <w:spacing w:val="0"/>
          <w:sz w:val="28"/>
          <w:szCs w:val="28"/>
        </w:rPr>
        <w:t xml:space="preserve"> количество деталей;</w:t>
      </w:r>
    </w:p>
    <w:p w:rsidR="00F52960" w:rsidRDefault="00F52960" w:rsidP="005609BB">
      <w:pPr>
        <w:pStyle w:val="21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      </w:t>
      </w:r>
      <w:proofErr w:type="gramStart"/>
      <w:r w:rsidRPr="004A4246">
        <w:rPr>
          <w:spacing w:val="0"/>
          <w:sz w:val="28"/>
          <w:szCs w:val="28"/>
          <w:lang w:val="en-US"/>
        </w:rPr>
        <w:t>K</w:t>
      </w:r>
      <w:proofErr w:type="spellStart"/>
      <w:r w:rsidRPr="004A4246">
        <w:rPr>
          <w:spacing w:val="0"/>
          <w:sz w:val="28"/>
          <w:szCs w:val="28"/>
        </w:rPr>
        <w:t>нп</w:t>
      </w:r>
      <w:proofErr w:type="spellEnd"/>
      <w:r w:rsidRPr="004A4246">
        <w:rPr>
          <w:spacing w:val="0"/>
          <w:sz w:val="28"/>
          <w:szCs w:val="28"/>
        </w:rPr>
        <w:t xml:space="preserve">  -</w:t>
      </w:r>
      <w:proofErr w:type="gramEnd"/>
      <w:r w:rsidRPr="004A4246">
        <w:rPr>
          <w:spacing w:val="0"/>
          <w:sz w:val="28"/>
          <w:szCs w:val="28"/>
        </w:rPr>
        <w:t xml:space="preserve"> коэффициент времени нормированных перерывов.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21" w:name="_Toc401761643"/>
      <w:bookmarkStart w:id="22" w:name="_Toc401774521"/>
      <w:bookmarkStart w:id="23" w:name="_Toc405486057"/>
      <w:r w:rsidRPr="004A4246">
        <w:t>8  Оформление списка литературы</w:t>
      </w:r>
      <w:bookmarkEnd w:id="21"/>
      <w:bookmarkEnd w:id="22"/>
      <w:bookmarkEnd w:id="23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4A4246">
        <w:rPr>
          <w:rFonts w:ascii="Times New Roman" w:hAnsi="Times New Roman" w:cs="Times New Roman"/>
          <w:snapToGrid w:val="0"/>
          <w:sz w:val="28"/>
          <w:szCs w:val="28"/>
        </w:rPr>
        <w:t>писок литературы должен называться «Список использованных источников». В него включаются все печатные источники (нормативно-законодательные акты, учебники и учебные пособия, монографии и брошюры, научно-исследовательские отчеты, журнальные статьи, справочные материалы, материалы сети Интернет), которые были изучены, и материал из которых был использован студентом. Количество использованных источников должно быть не менее 25.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Каждая библиографическая запись в списке литературы получает порядковый номер и начинается с красной строки. Нумерация источников в списке сквозная в порядке появления ссылок на источники в тексте работы.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Библиографическое описание книги приводится в следующей последовательности: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Автор (Фамилия, И. О.). Заглавие: сведения, относящиеся к заглавию / сведения об ответственности (авторы); последующие сведения об ответственности (редакторы, переводчики, коллективы). – Сведения об издании (информация о переиздании, номер издания). – Место издания: Издательство, Год издания. – Объем.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Библиографическое описание статьи из сборника или периодического издания состоит из двух частей: сведений о статье и сведений об издании и месте (страницах), в котором эта статья помещена. Эти части отделяются друг от друга двойной косой чертой. 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При описании электронного ресурса, размещенного в Интернете, указывается интернет-адрес сайта или конкретной страницы (URL) и дата обращения к этому сайту (поскольку содержание интернет-сайтов может со временем изменяться). Электронные ресурсы включаются в общий массив источников, и поэтому следует указывать обозначение материалов для электронных ресурсов – [Электронный ресурс]. Электронный адрес и дату обращения к документу приводят всегда. Дата обращения к документу — та дата, когда человек, составляющий ссылку, данный документ открывал, и этот документ был доступен.</w:t>
      </w:r>
    </w:p>
    <w:p w:rsidR="00F52960" w:rsidRPr="004A4246" w:rsidRDefault="00F52960" w:rsidP="005609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Сведения ограничения доступа приводят в том случае, если доступ к документу возможен, например, из какого-то конкретного места (локальной сети, организации, для сети которой доступ открыт), только для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в сведениях не указывают </w:t>
      </w:r>
      <w:r w:rsidRPr="004A4246">
        <w:rPr>
          <w:rFonts w:ascii="Times New Roman" w:hAnsi="Times New Roman" w:cs="Times New Roman"/>
          <w:sz w:val="28"/>
          <w:szCs w:val="28"/>
        </w:rPr>
        <w:lastRenderedPageBreak/>
        <w:t>ничего</w:t>
      </w:r>
      <w:r w:rsidRPr="004A4246">
        <w:rPr>
          <w:rFonts w:ascii="Times New Roman" w:hAnsi="Times New Roman" w:cs="Times New Roman"/>
          <w:b/>
          <w:sz w:val="28"/>
          <w:szCs w:val="28"/>
        </w:rPr>
        <w:t>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Электронные ресурсы оформляются ссылками на конкретную страницу соответствующего сайта с обязательным указанием даты обращения.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В списке должны отражаться использованные источники, изданные в последние 5 лет, за исключением действующих нормативно-законодательных актов, которые не утратили свою актуальность, а также фундаментальных трудов, которые не переиздавались в указанный период.</w:t>
      </w:r>
    </w:p>
    <w:p w:rsidR="00F52960" w:rsidRPr="00B86C0E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86C0E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Примеры оформления списка использованных источников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приведены ниже.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24" w:name="_Toc405485842"/>
      <w:bookmarkStart w:id="25" w:name="_Toc405486058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Нормативно-правовые акты</w:t>
      </w:r>
      <w:bookmarkEnd w:id="24"/>
      <w:bookmarkEnd w:id="25"/>
    </w:p>
    <w:p w:rsidR="00F52960" w:rsidRDefault="00F52960" w:rsidP="005609BB">
      <w:pPr>
        <w:pStyle w:val="11"/>
        <w:widowControl w:val="0"/>
        <w:numPr>
          <w:ilvl w:val="0"/>
          <w:numId w:val="7"/>
        </w:numPr>
        <w:tabs>
          <w:tab w:val="left" w:pos="36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валютном контроле и валютном регулировании: федеральный закон № 173 от 23.12.2003 (ред. от 12.06.2011).</w:t>
      </w:r>
    </w:p>
    <w:p w:rsidR="00F52960" w:rsidRDefault="00F52960" w:rsidP="005609BB">
      <w:pPr>
        <w:widowControl w:val="0"/>
        <w:numPr>
          <w:ilvl w:val="0"/>
          <w:numId w:val="7"/>
        </w:numPr>
        <w:shd w:val="clear" w:color="000000" w:fill="FFFFFF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Об утверждении федерального стандарта оценки «Общие понятия оценки, подходы к оценке и требования к проведению оценки (ФСО № 1)»: приказ Минэкономразвития РФ № 256 от 20 июля 2007 года (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зарег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в Минюсте РФ № 10040 от 22 августа 2007 года)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Монографическое библиографическое описание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1 автор</w:t>
      </w:r>
    </w:p>
    <w:p w:rsidR="00F52960" w:rsidRPr="00B86C0E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6" w:name="_Toc405485843"/>
      <w:bookmarkStart w:id="27" w:name="_Toc405486059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86C0E">
        <w:rPr>
          <w:rFonts w:ascii="Times New Roman" w:hAnsi="Times New Roman" w:cs="Times New Roman"/>
          <w:sz w:val="28"/>
          <w:szCs w:val="28"/>
        </w:rPr>
        <w:t xml:space="preserve">Канке,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C0E">
        <w:rPr>
          <w:rFonts w:ascii="Times New Roman" w:hAnsi="Times New Roman" w:cs="Times New Roman"/>
          <w:sz w:val="28"/>
          <w:szCs w:val="28"/>
        </w:rPr>
        <w:t>В. А. Философия менеджмент</w:t>
      </w:r>
      <w:r>
        <w:rPr>
          <w:rFonts w:ascii="Times New Roman" w:hAnsi="Times New Roman" w:cs="Times New Roman"/>
          <w:sz w:val="28"/>
          <w:szCs w:val="28"/>
        </w:rPr>
        <w:t>а : учеб.  для вузов / В. А. Кан</w:t>
      </w:r>
      <w:r w:rsidRPr="00B86C0E">
        <w:rPr>
          <w:rFonts w:ascii="Times New Roman" w:hAnsi="Times New Roman" w:cs="Times New Roman"/>
          <w:sz w:val="28"/>
          <w:szCs w:val="28"/>
        </w:rPr>
        <w:t>ке. –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C0E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86C0E">
        <w:rPr>
          <w:rFonts w:ascii="Times New Roman" w:hAnsi="Times New Roman" w:cs="Times New Roman"/>
          <w:sz w:val="28"/>
          <w:szCs w:val="28"/>
        </w:rPr>
        <w:t>, 2010. – 388 с.</w:t>
      </w:r>
      <w:bookmarkEnd w:id="26"/>
      <w:bookmarkEnd w:id="27"/>
      <w:r w:rsidRPr="00B86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28" w:name="_Toc405485844"/>
      <w:bookmarkStart w:id="29" w:name="_Toc405486060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2-3 автора</w:t>
      </w:r>
      <w:bookmarkEnd w:id="28"/>
      <w:bookmarkEnd w:id="29"/>
    </w:p>
    <w:p w:rsidR="00F52960" w:rsidRPr="00371183" w:rsidRDefault="00F52960" w:rsidP="005609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E38">
        <w:rPr>
          <w:rFonts w:ascii="Times New Roman" w:eastAsia="Times New Roman" w:hAnsi="Times New Roman" w:cs="Times New Roman"/>
          <w:sz w:val="28"/>
          <w:szCs w:val="28"/>
        </w:rPr>
        <w:t>1. Гончаренко, Л. П. Риск-менеджмент</w:t>
      </w:r>
      <w:r w:rsidRPr="00371183">
        <w:rPr>
          <w:rFonts w:ascii="Times New Roman" w:eastAsia="Times New Roman" w:hAnsi="Times New Roman" w:cs="Times New Roman"/>
          <w:sz w:val="28"/>
          <w:szCs w:val="28"/>
        </w:rPr>
        <w:t>: учеб. пособие / Л. П. Гон-</w:t>
      </w:r>
      <w:proofErr w:type="spellStart"/>
      <w:r w:rsidRPr="00371183">
        <w:rPr>
          <w:rFonts w:ascii="Times New Roman" w:eastAsia="Times New Roman" w:hAnsi="Times New Roman" w:cs="Times New Roman"/>
          <w:sz w:val="28"/>
          <w:szCs w:val="28"/>
        </w:rPr>
        <w:t>чаренко</w:t>
      </w:r>
      <w:proofErr w:type="spellEnd"/>
      <w:r w:rsidRPr="00371183">
        <w:rPr>
          <w:rFonts w:ascii="Times New Roman" w:eastAsia="Times New Roman" w:hAnsi="Times New Roman" w:cs="Times New Roman"/>
          <w:sz w:val="28"/>
          <w:szCs w:val="28"/>
        </w:rPr>
        <w:t xml:space="preserve">, С. А. Филин ; Рос. эконом. акад. им. Г.В. Плеханова. – 3-е изд., стер. – М.: </w:t>
      </w:r>
      <w:proofErr w:type="spellStart"/>
      <w:r w:rsidRPr="00371183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371183">
        <w:rPr>
          <w:rFonts w:ascii="Times New Roman" w:eastAsia="Times New Roman" w:hAnsi="Times New Roman" w:cs="Times New Roman"/>
          <w:sz w:val="28"/>
          <w:szCs w:val="28"/>
        </w:rPr>
        <w:t xml:space="preserve">, 2010. – 216 с. </w:t>
      </w:r>
    </w:p>
    <w:p w:rsidR="00F52960" w:rsidRPr="00371183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71183">
        <w:rPr>
          <w:rFonts w:ascii="Times New Roman" w:eastAsia="Times New Roman" w:hAnsi="Times New Roman" w:cs="Times New Roman"/>
          <w:sz w:val="28"/>
          <w:szCs w:val="28"/>
        </w:rPr>
        <w:t xml:space="preserve">Алексеенко, Н. А. Управленческий учет в антикризисном менеджменте: теория и практика: монография / Н. А. Алексеенко, У. Ю. </w:t>
      </w:r>
      <w:proofErr w:type="spellStart"/>
      <w:r w:rsidRPr="00371183">
        <w:rPr>
          <w:rFonts w:ascii="Times New Roman" w:eastAsia="Times New Roman" w:hAnsi="Times New Roman" w:cs="Times New Roman"/>
          <w:sz w:val="28"/>
          <w:szCs w:val="28"/>
        </w:rPr>
        <w:t>Блинова</w:t>
      </w:r>
      <w:proofErr w:type="spellEnd"/>
      <w:r w:rsidRPr="00371183">
        <w:rPr>
          <w:rFonts w:ascii="Times New Roman" w:eastAsia="Times New Roman" w:hAnsi="Times New Roman" w:cs="Times New Roman"/>
          <w:sz w:val="28"/>
          <w:szCs w:val="28"/>
        </w:rPr>
        <w:t>, Н. К. Рожкова. – Хабаровск: Изд-во ДВГУПС, 2011. – 243 с.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более 3 авторов — Книга описывается под названием</w:t>
      </w:r>
    </w:p>
    <w:p w:rsidR="00F52960" w:rsidRDefault="00F52960" w:rsidP="005609BB">
      <w:pPr>
        <w:widowControl w:val="0"/>
        <w:numPr>
          <w:ilvl w:val="0"/>
          <w:numId w:val="9"/>
        </w:numPr>
        <w:shd w:val="clear" w:color="000000" w:fill="FFFFFF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Основы корпоративного управления / А.Г. Дементьева, [и др.]. – М.: Магистр, 2011.  – 303 с.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30" w:name="_Toc405485845"/>
      <w:bookmarkStart w:id="31" w:name="_Toc405486061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Описание сборника в целом</w:t>
      </w:r>
      <w:bookmarkEnd w:id="30"/>
      <w:bookmarkEnd w:id="31"/>
    </w:p>
    <w:p w:rsidR="00F52960" w:rsidRDefault="00F52960" w:rsidP="005609BB">
      <w:pPr>
        <w:widowControl w:val="0"/>
        <w:numPr>
          <w:ilvl w:val="0"/>
          <w:numId w:val="8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Экономика в регионе: материалы конференции. –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- во МАП, 2012. – 157 с.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32" w:name="_Toc405485846"/>
      <w:bookmarkStart w:id="33" w:name="_Toc405486062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Описание многотомного издания</w:t>
      </w:r>
      <w:bookmarkEnd w:id="32"/>
      <w:bookmarkEnd w:id="33"/>
    </w:p>
    <w:p w:rsidR="00F52960" w:rsidRDefault="00F52960" w:rsidP="005609BB">
      <w:pPr>
        <w:widowControl w:val="0"/>
        <w:numPr>
          <w:ilvl w:val="0"/>
          <w:numId w:val="2"/>
        </w:numPr>
        <w:shd w:val="clear" w:color="000000" w:fill="FFFFFF"/>
        <w:tabs>
          <w:tab w:val="left" w:pos="36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Экономика:  учебник: в 2 ч. /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Моск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гос. ун-т им. М.В. Ломоносова; под ред. О.И. Смирнова. 4-е изд.,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и доп. –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Экономистъ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, 2011. Ч. 1-2.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34" w:name="_Toc405485847"/>
      <w:bookmarkStart w:id="35" w:name="_Toc405486063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Описание отдельного тома многотомного издания</w:t>
      </w:r>
      <w:bookmarkEnd w:id="34"/>
      <w:bookmarkEnd w:id="35"/>
    </w:p>
    <w:p w:rsidR="00F52960" w:rsidRDefault="00F52960" w:rsidP="005609BB">
      <w:pPr>
        <w:widowControl w:val="0"/>
        <w:numPr>
          <w:ilvl w:val="0"/>
          <w:numId w:val="11"/>
        </w:numPr>
        <w:shd w:val="clear" w:color="000000" w:fill="FFFFFF"/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Экономика: учебник: в 2 ч. /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Моск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гос. ун-т им. М.В. Ломоносова; под ред. О.И. Смирнова. 4-е изд.,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и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доп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. – М.: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Экономистъ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, 2011. Ч.1. – 377 с.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36" w:name="_Toc405485848"/>
      <w:bookmarkStart w:id="37" w:name="_Toc405486064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Описание автореферата диссертации</w:t>
      </w:r>
      <w:bookmarkEnd w:id="36"/>
      <w:bookmarkEnd w:id="37"/>
    </w:p>
    <w:p w:rsidR="00F52960" w:rsidRDefault="00F52960" w:rsidP="005609BB">
      <w:pPr>
        <w:widowControl w:val="0"/>
        <w:numPr>
          <w:ilvl w:val="0"/>
          <w:numId w:val="1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Егоров, С.Н. Формирование и управление структурой депозитного и кредитного портфелей в операционной деятельности коммерческого банка: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lastRenderedPageBreak/>
        <w:t>автореф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к.э.н. /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С.Н.Егоров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– Самара, 2008. – 18 с.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38" w:name="_Toc405485849"/>
      <w:bookmarkStart w:id="39" w:name="_Toc405486065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Аналитическое библиографическое описание</w:t>
      </w:r>
      <w:bookmarkEnd w:id="38"/>
      <w:bookmarkEnd w:id="39"/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газеты</w:t>
      </w:r>
    </w:p>
    <w:p w:rsidR="00F52960" w:rsidRDefault="00F52960" w:rsidP="005609BB">
      <w:pPr>
        <w:widowControl w:val="0"/>
        <w:numPr>
          <w:ilvl w:val="3"/>
          <w:numId w:val="1"/>
        </w:numPr>
        <w:shd w:val="clear" w:color="000000" w:fill="FFFFFF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0" w:name="_Toc405485850"/>
      <w:bookmarkStart w:id="41" w:name="_Toc405486066"/>
      <w:r w:rsidRPr="00371183">
        <w:rPr>
          <w:rFonts w:ascii="Times New Roman" w:hAnsi="Times New Roman" w:cs="Times New Roman"/>
          <w:sz w:val="28"/>
          <w:szCs w:val="28"/>
        </w:rPr>
        <w:t>Михайлов, С. А. Езда по-европейски: система платных дорог в России находится в начал</w:t>
      </w:r>
      <w:r>
        <w:rPr>
          <w:rFonts w:ascii="Times New Roman" w:hAnsi="Times New Roman" w:cs="Times New Roman"/>
          <w:sz w:val="28"/>
          <w:szCs w:val="28"/>
        </w:rPr>
        <w:t>ьной</w:t>
      </w:r>
      <w:r w:rsidRPr="00371183">
        <w:rPr>
          <w:rFonts w:ascii="Times New Roman" w:hAnsi="Times New Roman" w:cs="Times New Roman"/>
          <w:sz w:val="28"/>
          <w:szCs w:val="28"/>
        </w:rPr>
        <w:t xml:space="preserve"> стадии развития / С.А. Михайлов // Независимая газ</w:t>
      </w:r>
      <w:r>
        <w:rPr>
          <w:rFonts w:ascii="Times New Roman" w:hAnsi="Times New Roman" w:cs="Times New Roman"/>
          <w:sz w:val="28"/>
          <w:szCs w:val="28"/>
        </w:rPr>
        <w:t>ета</w:t>
      </w:r>
      <w:r w:rsidRPr="00371183">
        <w:rPr>
          <w:rFonts w:ascii="Times New Roman" w:hAnsi="Times New Roman" w:cs="Times New Roman"/>
          <w:sz w:val="28"/>
          <w:szCs w:val="28"/>
        </w:rPr>
        <w:t xml:space="preserve"> – 2012. – 17 июня.</w:t>
      </w:r>
      <w:bookmarkEnd w:id="40"/>
      <w:bookmarkEnd w:id="41"/>
      <w:r w:rsidRPr="00371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60" w:rsidRPr="00371183" w:rsidRDefault="00F52960" w:rsidP="005609BB">
      <w:pPr>
        <w:widowControl w:val="0"/>
        <w:shd w:val="clear" w:color="000000" w:fill="FFFFFF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42" w:name="_Toc405485851"/>
      <w:bookmarkStart w:id="43" w:name="_Toc405486067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журнала</w:t>
      </w:r>
      <w:bookmarkEnd w:id="42"/>
      <w:bookmarkEnd w:id="43"/>
    </w:p>
    <w:p w:rsidR="00F52960" w:rsidRDefault="00F52960" w:rsidP="005609BB">
      <w:pPr>
        <w:widowControl w:val="0"/>
        <w:numPr>
          <w:ilvl w:val="0"/>
          <w:numId w:val="5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Мансуров, Р.Е. Опыт формирования бренда компании / Р.Е. Мансуров // Маркетинг в России и за рубежом. –  2011. – № 6. – С. 78-86.</w:t>
      </w:r>
    </w:p>
    <w:p w:rsidR="00F52960" w:rsidRDefault="00F52960" w:rsidP="005609BB">
      <w:pPr>
        <w:widowControl w:val="0"/>
        <w:numPr>
          <w:ilvl w:val="0"/>
          <w:numId w:val="5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x-non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Федоткина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О.П.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Мультибанковские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вклады и их роль в развитии национальной системы страхования банковских вкладов /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О.П.Федоткина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А.В.Тарадаева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// Финансы и кредит. – 2011. – № 14. – С. 21-24.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44" w:name="_Toc405485852"/>
      <w:bookmarkStart w:id="45" w:name="_Toc405486068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сборника</w:t>
      </w:r>
      <w:bookmarkEnd w:id="44"/>
      <w:bookmarkEnd w:id="45"/>
    </w:p>
    <w:p w:rsidR="00F52960" w:rsidRDefault="00F52960" w:rsidP="005609BB">
      <w:pPr>
        <w:widowControl w:val="0"/>
        <w:numPr>
          <w:ilvl w:val="0"/>
          <w:numId w:val="6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x-non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Дубатова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Т.Е. Роль прогнозирования в экономическом управлении / Т.Е.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Дубатова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// Экономическое управление. – М., 2011. – С. 15-23.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46" w:name="_Toc405485853"/>
      <w:bookmarkStart w:id="47" w:name="_Toc405486069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продолжающегося издания</w:t>
      </w:r>
      <w:bookmarkEnd w:id="46"/>
      <w:bookmarkEnd w:id="47"/>
    </w:p>
    <w:p w:rsidR="00F52960" w:rsidRDefault="00F52960" w:rsidP="005609BB">
      <w:pPr>
        <w:widowControl w:val="0"/>
        <w:numPr>
          <w:ilvl w:val="0"/>
          <w:numId w:val="10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Гаспаров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С.Л. Рифма блока / С.Л.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Гаспаров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// Учен.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зап.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 Томский ун-т. – 2009.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459. – С. 34-49.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48" w:name="_Toc405485854"/>
      <w:bookmarkStart w:id="49" w:name="_Toc405486070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энциклопедии</w:t>
      </w:r>
      <w:bookmarkEnd w:id="48"/>
      <w:bookmarkEnd w:id="49"/>
    </w:p>
    <w:p w:rsidR="00F52960" w:rsidRDefault="00F52960" w:rsidP="005609BB">
      <w:pPr>
        <w:widowControl w:val="0"/>
        <w:numPr>
          <w:ilvl w:val="0"/>
          <w:numId w:val="4"/>
        </w:numPr>
        <w:shd w:val="clear" w:color="000000" w:fill="FFFFFF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Добровольская, Т.Н. Ассигнация /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Т.Н.Добровольская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// БСЭ. З-е изд. – М., 1974. Т.1. – С. 219.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Описание электронных ресурсов</w:t>
      </w:r>
    </w:p>
    <w:p w:rsidR="00F52960" w:rsidRPr="00F42E38" w:rsidRDefault="00F52960" w:rsidP="005609BB">
      <w:pPr>
        <w:widowControl w:val="0"/>
        <w:shd w:val="clear" w:color="000000" w:fill="FFFFFF"/>
        <w:tabs>
          <w:tab w:val="left" w:pos="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Электронный диск</w:t>
      </w:r>
    </w:p>
    <w:p w:rsidR="00F52960" w:rsidRDefault="00F52960" w:rsidP="005609BB">
      <w:pPr>
        <w:widowControl w:val="0"/>
        <w:numPr>
          <w:ilvl w:val="0"/>
          <w:numId w:val="12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Энциклопедия менеджмента [Электронный ресурс]: 2009. Комментарии. Толковый словарь: для преподавателей и студентов экономических специальностей. Электрон. текстовые дан. – М.: Печать, 2009. 1 электрон. опт. диск (CD-ROM). Вып.7.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Загл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с контейнера.</w:t>
      </w:r>
    </w:p>
    <w:p w:rsidR="00F52960" w:rsidRDefault="00F52960" w:rsidP="005609BB">
      <w:pPr>
        <w:widowControl w:val="0"/>
        <w:numPr>
          <w:ilvl w:val="0"/>
          <w:numId w:val="12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Довлатова, Л.Г. Маркетинг и менеджмент [Электронный ресурс]: учебник / Л.Г. Довлатова. Электрон. текстовые дан. – М.: Равновесие, 2008. 1 электрон. опт. диск (СD).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Загл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с контейнера.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50" w:name="_Toc405485855"/>
      <w:bookmarkStart w:id="51" w:name="_Toc405486071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Электронная статья</w:t>
      </w:r>
      <w:bookmarkEnd w:id="50"/>
      <w:bookmarkEnd w:id="51"/>
    </w:p>
    <w:p w:rsidR="00F52960" w:rsidRDefault="00F52960" w:rsidP="005609BB">
      <w:pPr>
        <w:widowControl w:val="0"/>
        <w:numPr>
          <w:ilvl w:val="0"/>
          <w:numId w:val="13"/>
        </w:numPr>
        <w:shd w:val="clear" w:color="000000" w:fill="FFFFFF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М. Логика архитектуры бренда и причины покупки [Электронный ресурс] / М.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; Энциклопедия маркетинга. Электрон. ст. Режим доступа: 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http</w:t>
      </w:r>
      <w:r>
        <w:rPr>
          <w:rFonts w:ascii="Times New Roman" w:hAnsi="Times New Roman" w:cs="Times New Roman"/>
          <w:sz w:val="28"/>
          <w:szCs w:val="28"/>
          <w:lang w:eastAsia="x-none"/>
        </w:rPr>
        <w:t>://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www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marketing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x-none"/>
        </w:rPr>
        <w:t>spb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x-none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/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lib</w:t>
      </w:r>
      <w:r>
        <w:rPr>
          <w:rFonts w:ascii="Times New Roman" w:hAnsi="Times New Roman" w:cs="Times New Roman"/>
          <w:sz w:val="28"/>
          <w:szCs w:val="28"/>
          <w:lang w:eastAsia="x-none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x-none"/>
        </w:rPr>
        <w:t>comm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/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brand</w:t>
      </w:r>
      <w:r>
        <w:rPr>
          <w:rFonts w:ascii="Times New Roman" w:hAnsi="Times New Roman" w:cs="Times New Roman"/>
          <w:sz w:val="28"/>
          <w:szCs w:val="28"/>
          <w:lang w:eastAsia="x-none"/>
        </w:rPr>
        <w:t>/</w:t>
      </w:r>
      <w:r>
        <w:rPr>
          <w:rFonts w:ascii="Times New Roman" w:hAnsi="Times New Roman" w:cs="Times New Roman"/>
          <w:sz w:val="28"/>
          <w:szCs w:val="28"/>
          <w:lang w:val="en-US" w:eastAsia="x-none"/>
        </w:rPr>
        <w:t>architectonic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x-none"/>
        </w:rPr>
        <w:t>htm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 (дата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обращ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20.01.2013)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52" w:name="_Toc405485856"/>
      <w:bookmarkStart w:id="53" w:name="_Toc405486072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Статья из электронного журнала (аналог печатного)</w:t>
      </w:r>
      <w:bookmarkEnd w:id="52"/>
      <w:bookmarkEnd w:id="53"/>
    </w:p>
    <w:p w:rsidR="00F52960" w:rsidRDefault="00F52960" w:rsidP="005609BB">
      <w:pPr>
        <w:widowControl w:val="0"/>
        <w:numPr>
          <w:ilvl w:val="0"/>
          <w:numId w:val="3"/>
        </w:numPr>
        <w:shd w:val="clear" w:color="000000" w:fill="FFFFFF"/>
        <w:tabs>
          <w:tab w:val="left" w:pos="36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x-non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Гудилина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Е.А. Насколько эффективен социально ориентированный маркетинг [Электронный ресурс] / 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Гудилина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Электрон. ст. – М., 2012. Режим доступа: http://www.mavriz.ru/articles/2012/6/5207.html. Аналог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печат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изд. (Маркетинг в России и за рубежом. 2012. № 6). (дата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обращ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20.01.2013).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54" w:name="_Toc405485857"/>
      <w:bookmarkStart w:id="55" w:name="_Toc405486073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Электронный журнал</w:t>
      </w:r>
      <w:bookmarkEnd w:id="54"/>
      <w:bookmarkEnd w:id="55"/>
    </w:p>
    <w:p w:rsidR="00F52960" w:rsidRDefault="00F52960" w:rsidP="005609BB">
      <w:pPr>
        <w:widowControl w:val="0"/>
        <w:numPr>
          <w:ilvl w:val="1"/>
          <w:numId w:val="3"/>
        </w:numPr>
        <w:shd w:val="clear" w:color="000000" w:fill="FFFFFF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Маркетинг в России и за рубежом [Электронный ресурс]: науч.-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журн. Режим доступа: http://www.mavriz.ru/about/. (дата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обращ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x-none"/>
        </w:rPr>
        <w:lastRenderedPageBreak/>
        <w:t>20.01.2013)</w:t>
      </w:r>
    </w:p>
    <w:p w:rsidR="00F52960" w:rsidRPr="00F42E38" w:rsidRDefault="00F52960" w:rsidP="005609BB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i/>
          <w:sz w:val="28"/>
          <w:szCs w:val="28"/>
          <w:lang w:eastAsia="x-none"/>
        </w:rPr>
      </w:pPr>
      <w:bookmarkStart w:id="56" w:name="_Toc405485858"/>
      <w:bookmarkStart w:id="57" w:name="_Toc405486074"/>
      <w:r w:rsidRPr="00F42E38">
        <w:rPr>
          <w:rFonts w:ascii="Times New Roman" w:hAnsi="Times New Roman" w:cs="Times New Roman"/>
          <w:i/>
          <w:sz w:val="28"/>
          <w:szCs w:val="28"/>
          <w:lang w:eastAsia="x-none"/>
        </w:rPr>
        <w:t>Электронные данные</w:t>
      </w:r>
      <w:bookmarkEnd w:id="56"/>
      <w:bookmarkEnd w:id="57"/>
    </w:p>
    <w:p w:rsidR="00F52960" w:rsidRDefault="00F52960" w:rsidP="005609BB">
      <w:pPr>
        <w:widowControl w:val="0"/>
        <w:numPr>
          <w:ilvl w:val="0"/>
          <w:numId w:val="14"/>
        </w:numPr>
        <w:shd w:val="clear" w:color="000000" w:fill="FFFFFF"/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Российская государственная библиотека [Электронный ресурс] / Центр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информ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технологий РГБ; ред. Т.В. Власенко;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 xml:space="preserve">-мастер Н.В. Козлова. Электрон. дан. М.: Рос. гос. б-ка, 1997.  Режим доступа: http//www.rsl.ru (дата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обращ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20.01.2013).</w:t>
      </w:r>
    </w:p>
    <w:p w:rsidR="00F52960" w:rsidRPr="00B86C0E" w:rsidRDefault="00F52960" w:rsidP="005609BB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2. Департамент экономического развития и торговли Ивановской области </w:t>
      </w:r>
      <w:r>
        <w:rPr>
          <w:rFonts w:ascii="Symbol" w:hAnsi="Symbol" w:cs="Times New Roman"/>
          <w:sz w:val="28"/>
          <w:szCs w:val="28"/>
          <w:lang w:eastAsia="x-none"/>
        </w:rPr>
        <w:t></w:t>
      </w:r>
      <w:r>
        <w:rPr>
          <w:rFonts w:ascii="Times New Roman" w:hAnsi="Times New Roman" w:cs="Times New Roman"/>
          <w:sz w:val="28"/>
          <w:szCs w:val="28"/>
          <w:lang w:eastAsia="x-none"/>
        </w:rPr>
        <w:t>Электронный ресурс</w:t>
      </w:r>
      <w:r>
        <w:rPr>
          <w:rFonts w:ascii="Symbol" w:hAnsi="Symbol" w:cs="Times New Roman"/>
          <w:sz w:val="28"/>
          <w:szCs w:val="28"/>
          <w:lang w:eastAsia="x-none"/>
        </w:rPr>
        <w:t>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/ официальный сайт.  Режим доступа</w:t>
      </w:r>
      <w:r w:rsidRPr="00B86C0E">
        <w:rPr>
          <w:rFonts w:ascii="Times New Roman" w:hAnsi="Times New Roman" w:cs="Times New Roman"/>
          <w:sz w:val="28"/>
          <w:szCs w:val="28"/>
          <w:lang w:eastAsia="x-none"/>
        </w:rPr>
        <w:t>: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hyperlink r:id="rId9" w:history="1">
        <w:r>
          <w:rPr>
            <w:rFonts w:ascii="Times New Roman" w:hAnsi="Times New Roman" w:cs="Times New Roman"/>
            <w:sz w:val="28"/>
            <w:szCs w:val="28"/>
            <w:lang w:eastAsia="x-none"/>
          </w:rPr>
          <w:t>http://derit.ivanovoobl.ru/</w:t>
        </w:r>
      </w:hyperlink>
      <w:r w:rsidRPr="00B86C0E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(дата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обращ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. 20.01.2013).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bookmarkStart w:id="58" w:name="_Toc401761644"/>
      <w:bookmarkStart w:id="59" w:name="_Toc401774522"/>
      <w:bookmarkStart w:id="60" w:name="_Toc405486075"/>
      <w:r w:rsidRPr="004A4246">
        <w:t>9 Оформление с</w:t>
      </w:r>
      <w:bookmarkEnd w:id="58"/>
      <w:bookmarkEnd w:id="59"/>
      <w:r w:rsidRPr="004A4246">
        <w:t>сылок</w:t>
      </w:r>
      <w:bookmarkEnd w:id="60"/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При цитировании необходимо соблюдать следующие правила: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</w:t>
      </w:r>
      <w:r w:rsidRPr="004A4246">
        <w:rPr>
          <w:rFonts w:ascii="Times New Roman" w:hAnsi="Times New Roman" w:cs="Times New Roman"/>
          <w:sz w:val="28"/>
          <w:szCs w:val="28"/>
        </w:rPr>
        <w:t>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Ц</w:t>
      </w:r>
      <w:r w:rsidRPr="004A4246">
        <w:rPr>
          <w:rFonts w:ascii="Times New Roman" w:hAnsi="Times New Roman" w:cs="Times New Roman"/>
          <w:sz w:val="28"/>
          <w:szCs w:val="28"/>
        </w:rPr>
        <w:t>итирование должно быть полным, без искажения смысла. Пропуск слов, предложений, абзацев при цитировании допускается, если не влечет искажение всего фрагмента, и обозначается многоточием, которое ставится на месте пропуска.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</w:t>
      </w:r>
      <w:r w:rsidRPr="004A4246">
        <w:rPr>
          <w:rFonts w:ascii="Times New Roman" w:hAnsi="Times New Roman" w:cs="Times New Roman"/>
          <w:sz w:val="28"/>
          <w:szCs w:val="28"/>
        </w:rPr>
        <w:t>аждая цитата должна сопровождаться ссылкой на источник, библиографическое описание которого совпадает с библиографическим оформлением данного источника в списке литературы.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>Недословное приведение выдержки из какого-либо источника не выделяется кавычками, но обязательно снабжается ссылкой на источник.</w:t>
      </w:r>
    </w:p>
    <w:p w:rsidR="00F52960" w:rsidRPr="004A4246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46">
        <w:rPr>
          <w:rFonts w:ascii="Times New Roman" w:hAnsi="Times New Roman" w:cs="Times New Roman"/>
          <w:sz w:val="28"/>
          <w:szCs w:val="28"/>
        </w:rPr>
        <w:t xml:space="preserve">В тексте выпускной квалификационной работы при упоминании какого-либо автора указываются сначала его инициалы, а затем фамилия (например, по мнению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О.И.Лаврушина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, как подчеркивает </w:t>
      </w:r>
      <w:proofErr w:type="spellStart"/>
      <w:r w:rsidRPr="004A4246">
        <w:rPr>
          <w:rFonts w:ascii="Times New Roman" w:hAnsi="Times New Roman" w:cs="Times New Roman"/>
          <w:sz w:val="28"/>
          <w:szCs w:val="28"/>
        </w:rPr>
        <w:t>Г.С.Панова</w:t>
      </w:r>
      <w:proofErr w:type="spellEnd"/>
      <w:r w:rsidRPr="004A4246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F52960" w:rsidRDefault="00F52960" w:rsidP="005609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" w:name="_Toc401761645"/>
      <w:bookmarkStart w:id="62" w:name="_Toc401774523"/>
      <w:bookmarkStart w:id="63" w:name="_Toc405486076"/>
      <w:r>
        <w:rPr>
          <w:rFonts w:ascii="Times New Roman" w:eastAsia="Times New Roman" w:hAnsi="Times New Roman" w:cs="Times New Roman"/>
          <w:sz w:val="28"/>
          <w:szCs w:val="28"/>
        </w:rPr>
        <w:t xml:space="preserve">Ссылки по тексту на источники </w:t>
      </w:r>
      <w:r w:rsidRPr="004C5D11">
        <w:rPr>
          <w:rFonts w:ascii="Times New Roman" w:eastAsia="Times New Roman" w:hAnsi="Times New Roman" w:cs="Times New Roman"/>
          <w:sz w:val="28"/>
          <w:szCs w:val="28"/>
        </w:rPr>
        <w:t>обозначаются числом в квадратных скобках. Рекомендуется указывать не только источник, но и страницу.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C5D11">
        <w:rPr>
          <w:rFonts w:ascii="Times New Roman" w:eastAsia="Times New Roman" w:hAnsi="Times New Roman" w:cs="Times New Roman"/>
          <w:sz w:val="28"/>
          <w:szCs w:val="28"/>
        </w:rPr>
        <w:t xml:space="preserve"> [13, с. 321]. Первое число в скобках должно соответствовать номеру источника в списке использованных источников, который размещается в конце работы. Второе число – номер страницы. В некоторых случаях, когда ссылки отражают не конкретный вывод автора, а его концепцию, изложенную во всей работе, указывать номера страниц источника нецелесообразно. </w:t>
      </w:r>
    </w:p>
    <w:p w:rsidR="00F52960" w:rsidRPr="004A4246" w:rsidRDefault="00F52960" w:rsidP="005609BB">
      <w:pPr>
        <w:pStyle w:val="2"/>
        <w:keepNext w:val="0"/>
        <w:widowControl w:val="0"/>
        <w:spacing w:before="0" w:after="0" w:line="240" w:lineRule="auto"/>
        <w:ind w:left="0" w:firstLine="709"/>
        <w:jc w:val="center"/>
      </w:pPr>
      <w:r w:rsidRPr="004A4246">
        <w:t>10 Оформление приложений</w:t>
      </w:r>
      <w:bookmarkEnd w:id="61"/>
      <w:bookmarkEnd w:id="62"/>
      <w:bookmarkEnd w:id="63"/>
    </w:p>
    <w:p w:rsidR="00F52960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_Toc401761646"/>
      <w:bookmarkStart w:id="65" w:name="_Toc401774524"/>
      <w:bookmarkStart w:id="66" w:name="_Toc405486077"/>
      <w:r w:rsidRPr="00B67431">
        <w:rPr>
          <w:rFonts w:ascii="Times New Roman" w:hAnsi="Times New Roman" w:cs="Times New Roman"/>
          <w:sz w:val="28"/>
          <w:szCs w:val="28"/>
        </w:rPr>
        <w:t xml:space="preserve">В тексте на все приложения должны быть даны ссылки. </w:t>
      </w:r>
      <w:r w:rsidRPr="00C14199">
        <w:rPr>
          <w:rFonts w:ascii="Times New Roman" w:eastAsia="Times New Roman" w:hAnsi="Times New Roman" w:cs="Times New Roman"/>
          <w:sz w:val="28"/>
          <w:szCs w:val="28"/>
        </w:rPr>
        <w:t xml:space="preserve">Приложения располагают в порядке ссылок на них в тексте работы. Приложения обозначают буквами русского алфавита, начиная с буквы «А», за исключением букв Ё, З, Й, О, Ч, Ь, Ы, Ъ. После слова «Приложение» следует буква, обозначающая его последовательность. Каждое приложение должно начинаться с новой страницы с указанием в </w:t>
      </w:r>
      <w:r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Pr="00C14199">
        <w:rPr>
          <w:rFonts w:ascii="Times New Roman" w:eastAsia="Times New Roman" w:hAnsi="Times New Roman" w:cs="Times New Roman"/>
          <w:sz w:val="28"/>
          <w:szCs w:val="28"/>
        </w:rPr>
        <w:t xml:space="preserve"> слова «Приложение» и иметь тематический заголовок</w:t>
      </w:r>
      <w:r w:rsidRPr="00B67431">
        <w:rPr>
          <w:rFonts w:ascii="Times New Roman" w:hAnsi="Times New Roman" w:cs="Times New Roman"/>
          <w:sz w:val="28"/>
          <w:szCs w:val="28"/>
        </w:rPr>
        <w:t xml:space="preserve">, который записывают симметрично относительно текста с прописной буквы отдельной строкой. </w:t>
      </w:r>
    </w:p>
    <w:p w:rsidR="00F52960" w:rsidRDefault="00F52960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31">
        <w:rPr>
          <w:rFonts w:ascii="Times New Roman" w:hAnsi="Times New Roman" w:cs="Times New Roman"/>
          <w:sz w:val="28"/>
          <w:szCs w:val="28"/>
        </w:rPr>
        <w:t xml:space="preserve">Текст каждого приложения может быть разделен на разделы, которые </w:t>
      </w:r>
      <w:r w:rsidRPr="00B67431">
        <w:rPr>
          <w:rFonts w:ascii="Times New Roman" w:hAnsi="Times New Roman" w:cs="Times New Roman"/>
          <w:sz w:val="28"/>
          <w:szCs w:val="28"/>
        </w:rPr>
        <w:lastRenderedPageBreak/>
        <w:t>нумеруют в пределах каждого приложения. Перед номером ставится обозначение этого приложения. Нумерация таблиц и рисунков, расположенных в приложениях сквозная, т.е. они имеют более поздние номера по сравнению с таблицами и рисунками, расположенными в тексте.</w:t>
      </w:r>
      <w:bookmarkEnd w:id="64"/>
      <w:bookmarkEnd w:id="65"/>
      <w:bookmarkEnd w:id="66"/>
    </w:p>
    <w:p w:rsidR="00422A74" w:rsidRDefault="00422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2FE6" w:rsidRDefault="000E2FE6" w:rsidP="000E2FE6">
      <w:pPr>
        <w:widowControl w:val="0"/>
        <w:shd w:val="clear" w:color="000000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67" w:name="_Toc405486082"/>
      <w:r w:rsidRPr="00BA25D4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ПРИЛОЖЕНИЕ А</w:t>
      </w:r>
      <w:bookmarkEnd w:id="67"/>
    </w:p>
    <w:p w:rsidR="000E2FE6" w:rsidRDefault="000E2FE6" w:rsidP="000E2FE6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x-none"/>
        </w:rPr>
      </w:pPr>
      <w:bookmarkStart w:id="68" w:name="_Toc405485866"/>
      <w:bookmarkStart w:id="69" w:name="_Toc405486085"/>
    </w:p>
    <w:bookmarkEnd w:id="68"/>
    <w:bookmarkEnd w:id="69"/>
    <w:p w:rsidR="000E2FE6" w:rsidRDefault="000E2FE6" w:rsidP="000E2FE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Пример оформления содержания </w:t>
      </w:r>
      <w:r w:rsidR="00327D58">
        <w:rPr>
          <w:rFonts w:ascii="Times New Roman" w:hAnsi="Times New Roman" w:cs="Times New Roman"/>
          <w:b/>
          <w:sz w:val="28"/>
          <w:szCs w:val="28"/>
          <w:lang w:eastAsia="x-none"/>
        </w:rPr>
        <w:t>практики</w:t>
      </w:r>
    </w:p>
    <w:p w:rsidR="000E2FE6" w:rsidRDefault="000E2FE6" w:rsidP="000E2FE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0E2FE6" w:rsidRDefault="000E2FE6" w:rsidP="000E2FE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hAnsi="Times New Roman" w:cs="Times New Roman"/>
          <w:b/>
          <w:sz w:val="28"/>
          <w:szCs w:val="28"/>
          <w:lang w:eastAsia="x-none"/>
        </w:rPr>
        <w:t>СОДЕРЖАНИЕ</w:t>
      </w:r>
    </w:p>
    <w:p w:rsidR="00327D58" w:rsidRDefault="00327D58" w:rsidP="000E2FE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tbl>
      <w:tblPr>
        <w:tblW w:w="9288" w:type="dxa"/>
        <w:tblLook w:val="0000" w:firstRow="0" w:lastRow="0" w:firstColumn="0" w:lastColumn="0" w:noHBand="0" w:noVBand="0"/>
      </w:tblPr>
      <w:tblGrid>
        <w:gridCol w:w="8568"/>
        <w:gridCol w:w="720"/>
      </w:tblGrid>
      <w:tr w:rsidR="000E2FE6" w:rsidTr="00672B05">
        <w:tc>
          <w:tcPr>
            <w:tcW w:w="8568" w:type="dxa"/>
          </w:tcPr>
          <w:p w:rsidR="000E2FE6" w:rsidRDefault="000E2FE6" w:rsidP="00672B05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ВВЕДЕНИЕ</w:t>
            </w:r>
          </w:p>
        </w:tc>
        <w:tc>
          <w:tcPr>
            <w:tcW w:w="720" w:type="dxa"/>
          </w:tcPr>
          <w:p w:rsidR="000E2FE6" w:rsidRDefault="000E2FE6" w:rsidP="00672B05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5</w:t>
            </w:r>
          </w:p>
        </w:tc>
      </w:tr>
      <w:tr w:rsidR="000E2FE6" w:rsidTr="00672B05">
        <w:tc>
          <w:tcPr>
            <w:tcW w:w="8568" w:type="dxa"/>
          </w:tcPr>
          <w:p w:rsidR="000E2FE6" w:rsidRDefault="000E2FE6" w:rsidP="00672B05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1. ТЕОРЕТИЧЕСКИЕ ОСНОВЫ УПРАВЛЕНИЯ КРЕДИТНЫМИ РЕСУРСАМИ КОММЕРЧЕСКОГО БАНКА</w:t>
            </w:r>
          </w:p>
        </w:tc>
        <w:tc>
          <w:tcPr>
            <w:tcW w:w="720" w:type="dxa"/>
          </w:tcPr>
          <w:p w:rsidR="000E2FE6" w:rsidRDefault="000E2FE6" w:rsidP="00672B05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8</w:t>
            </w:r>
          </w:p>
        </w:tc>
      </w:tr>
      <w:tr w:rsidR="000E2FE6" w:rsidTr="00672B05">
        <w:tc>
          <w:tcPr>
            <w:tcW w:w="8568" w:type="dxa"/>
          </w:tcPr>
          <w:p w:rsidR="000E2FE6" w:rsidRDefault="000E2FE6" w:rsidP="00672B05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1.1 Кредитные ресурсы коммерческого банка: понятие, сущность, виды</w:t>
            </w:r>
          </w:p>
        </w:tc>
        <w:tc>
          <w:tcPr>
            <w:tcW w:w="720" w:type="dxa"/>
          </w:tcPr>
          <w:p w:rsidR="000E2FE6" w:rsidRDefault="000E2FE6" w:rsidP="00672B05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9</w:t>
            </w:r>
          </w:p>
        </w:tc>
      </w:tr>
      <w:tr w:rsidR="000E2FE6" w:rsidTr="00672B05">
        <w:tc>
          <w:tcPr>
            <w:tcW w:w="8568" w:type="dxa"/>
          </w:tcPr>
          <w:p w:rsidR="000E2FE6" w:rsidRDefault="000E2FE6" w:rsidP="00672B05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1.2 Управление формированием кредитных ресурсов коммерческого банка</w:t>
            </w:r>
          </w:p>
        </w:tc>
        <w:tc>
          <w:tcPr>
            <w:tcW w:w="720" w:type="dxa"/>
          </w:tcPr>
          <w:p w:rsidR="000E2FE6" w:rsidRDefault="000E2FE6" w:rsidP="00672B05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17</w:t>
            </w:r>
          </w:p>
        </w:tc>
      </w:tr>
      <w:tr w:rsidR="000E2FE6" w:rsidTr="00672B05">
        <w:tc>
          <w:tcPr>
            <w:tcW w:w="8568" w:type="dxa"/>
          </w:tcPr>
          <w:p w:rsidR="000E2FE6" w:rsidRDefault="000E2FE6" w:rsidP="00672B05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1.3 Управление использованием кредитных ресурсов коммерческого банка</w:t>
            </w:r>
          </w:p>
        </w:tc>
        <w:tc>
          <w:tcPr>
            <w:tcW w:w="720" w:type="dxa"/>
          </w:tcPr>
          <w:p w:rsidR="000E2FE6" w:rsidRDefault="000E2FE6" w:rsidP="00672B05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25</w:t>
            </w:r>
          </w:p>
        </w:tc>
      </w:tr>
      <w:tr w:rsidR="000E2FE6" w:rsidTr="00672B05">
        <w:tc>
          <w:tcPr>
            <w:tcW w:w="8568" w:type="dxa"/>
          </w:tcPr>
          <w:p w:rsidR="000E2FE6" w:rsidRDefault="000E2FE6" w:rsidP="00672B05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ЗАКЛЮЧЕНИЕ</w:t>
            </w:r>
          </w:p>
        </w:tc>
        <w:tc>
          <w:tcPr>
            <w:tcW w:w="720" w:type="dxa"/>
          </w:tcPr>
          <w:p w:rsidR="000E2FE6" w:rsidRDefault="00327D58" w:rsidP="00672B05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3</w:t>
            </w:r>
            <w:r w:rsidR="000E2FE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0</w:t>
            </w:r>
          </w:p>
        </w:tc>
      </w:tr>
      <w:tr w:rsidR="000E2FE6" w:rsidTr="00672B05">
        <w:tc>
          <w:tcPr>
            <w:tcW w:w="8568" w:type="dxa"/>
          </w:tcPr>
          <w:p w:rsidR="000E2FE6" w:rsidRDefault="000E2FE6" w:rsidP="00672B05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СПИСОК ИСПОЛЬЗОВАННЫХ ИСТОЧНИКОВ</w:t>
            </w:r>
          </w:p>
        </w:tc>
        <w:tc>
          <w:tcPr>
            <w:tcW w:w="720" w:type="dxa"/>
          </w:tcPr>
          <w:p w:rsidR="000E2FE6" w:rsidRDefault="00327D58" w:rsidP="00672B05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3</w:t>
            </w:r>
            <w:r w:rsidR="000E2FE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3</w:t>
            </w:r>
          </w:p>
        </w:tc>
      </w:tr>
      <w:tr w:rsidR="000E2FE6" w:rsidTr="00672B05">
        <w:tc>
          <w:tcPr>
            <w:tcW w:w="8568" w:type="dxa"/>
          </w:tcPr>
          <w:p w:rsidR="000E2FE6" w:rsidRDefault="000E2FE6" w:rsidP="00672B05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ПРИЛОЖЕНИЯ</w:t>
            </w:r>
          </w:p>
        </w:tc>
        <w:tc>
          <w:tcPr>
            <w:tcW w:w="720" w:type="dxa"/>
          </w:tcPr>
          <w:p w:rsidR="000E2FE6" w:rsidRDefault="00327D58" w:rsidP="00672B05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3</w:t>
            </w:r>
            <w:r w:rsidR="000E2FE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6</w:t>
            </w:r>
          </w:p>
        </w:tc>
      </w:tr>
    </w:tbl>
    <w:p w:rsidR="000E2FE6" w:rsidRPr="00CE150F" w:rsidRDefault="000E2FE6" w:rsidP="000E2FE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Б</w:t>
      </w:r>
    </w:p>
    <w:p w:rsidR="000E2FE6" w:rsidRPr="00CE150F" w:rsidRDefault="000E2FE6" w:rsidP="000E2FE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50F">
        <w:rPr>
          <w:rFonts w:ascii="Times New Roman" w:hAnsi="Times New Roman" w:cs="Times New Roman"/>
          <w:b/>
          <w:sz w:val="28"/>
          <w:szCs w:val="28"/>
        </w:rPr>
        <w:t>Пример оформления заголовков и текста</w:t>
      </w:r>
    </w:p>
    <w:p w:rsidR="000E2FE6" w:rsidRPr="00CE150F" w:rsidRDefault="000E2FE6" w:rsidP="000E2FE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FE6" w:rsidRPr="00CE150F" w:rsidRDefault="000E2FE6" w:rsidP="000E2FE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FE6" w:rsidRDefault="000E2FE6" w:rsidP="000E2FE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E150F">
        <w:rPr>
          <w:rFonts w:ascii="Times New Roman" w:hAnsi="Times New Roman" w:cs="Times New Roman"/>
          <w:b/>
          <w:caps/>
          <w:sz w:val="28"/>
          <w:szCs w:val="28"/>
        </w:rPr>
        <w:t>1 Теоретические основы управления современным банком</w:t>
      </w:r>
    </w:p>
    <w:p w:rsidR="000E2FE6" w:rsidRPr="00CE150F" w:rsidRDefault="000E2FE6" w:rsidP="000E2FE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E2FE6" w:rsidRPr="00CE150F" w:rsidRDefault="000E2FE6" w:rsidP="000E2FE6">
      <w:pPr>
        <w:widowControl w:val="0"/>
        <w:numPr>
          <w:ilvl w:val="1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50F">
        <w:rPr>
          <w:rFonts w:ascii="Times New Roman" w:hAnsi="Times New Roman" w:cs="Times New Roman"/>
          <w:b/>
          <w:sz w:val="28"/>
          <w:szCs w:val="28"/>
        </w:rPr>
        <w:t>Банковская система России</w:t>
      </w:r>
    </w:p>
    <w:p w:rsidR="000E2FE6" w:rsidRPr="00CE150F" w:rsidRDefault="000E2FE6" w:rsidP="000E2FE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2FE6" w:rsidRPr="00CE150F" w:rsidRDefault="000E2FE6" w:rsidP="000E2FE6">
      <w:pPr>
        <w:widowControl w:val="0"/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E150F">
        <w:rPr>
          <w:rFonts w:ascii="Times New Roman" w:hAnsi="Times New Roman" w:cs="Times New Roman"/>
          <w:spacing w:val="-5"/>
          <w:sz w:val="28"/>
          <w:szCs w:val="28"/>
        </w:rPr>
        <w:t xml:space="preserve">Банковская система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150F">
        <w:rPr>
          <w:rFonts w:ascii="Times New Roman" w:hAnsi="Times New Roman" w:cs="Times New Roman"/>
          <w:spacing w:val="-5"/>
          <w:sz w:val="28"/>
          <w:szCs w:val="28"/>
        </w:rPr>
        <w:t xml:space="preserve"> органическая часть экономической систе</w:t>
      </w:r>
      <w:r w:rsidRPr="00CE150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CE150F">
        <w:rPr>
          <w:rFonts w:ascii="Times New Roman" w:hAnsi="Times New Roman" w:cs="Times New Roman"/>
          <w:spacing w:val="-4"/>
          <w:sz w:val="28"/>
          <w:szCs w:val="28"/>
        </w:rPr>
        <w:t xml:space="preserve">мы, отражающая ее особенности, цели, принципы развития, общую </w:t>
      </w:r>
      <w:r w:rsidRPr="00CE150F">
        <w:rPr>
          <w:rFonts w:ascii="Times New Roman" w:hAnsi="Times New Roman" w:cs="Times New Roman"/>
          <w:spacing w:val="-3"/>
          <w:sz w:val="28"/>
          <w:szCs w:val="28"/>
        </w:rPr>
        <w:t>идеологию экономических отношений. Банковская система России является системой переходного периода.</w:t>
      </w:r>
    </w:p>
    <w:p w:rsidR="000E2FE6" w:rsidRPr="00CE150F" w:rsidRDefault="000E2FE6" w:rsidP="000E2FE6">
      <w:pPr>
        <w:widowControl w:val="0"/>
        <w:shd w:val="clear" w:color="auto" w:fill="FFFFFF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CE150F">
        <w:rPr>
          <w:rFonts w:ascii="Times New Roman" w:hAnsi="Times New Roman" w:cs="Times New Roman"/>
          <w:spacing w:val="-5"/>
          <w:sz w:val="28"/>
          <w:szCs w:val="28"/>
        </w:rPr>
        <w:t>Современные словари определяют банк как «социальный институт экономической жизни, финансовое предприятие, которое сосредоточивает денежные средства (вклады) и предоставляет их во временное пользование в виде кредитов (займов, ссуд) за определенную плату (процент) на принципах возвратности, срочности (под материальные ценности, ценные бумаги, векселя и т.п.).</w:t>
      </w:r>
      <w:proofErr w:type="gramEnd"/>
      <w:r w:rsidRPr="00CE150F">
        <w:rPr>
          <w:rFonts w:ascii="Times New Roman" w:hAnsi="Times New Roman" w:cs="Times New Roman"/>
          <w:spacing w:val="-5"/>
          <w:sz w:val="28"/>
          <w:szCs w:val="28"/>
        </w:rPr>
        <w:t xml:space="preserve"> Банк осуществляет посреднические функции во взаимных платежах и взаиморасчетах между предприятиями, учреждениями и отдельными лицами; регулирует денежное обращение в стране, включая выпуск (эмиссию) новых денег, операции с ценными бумагами и т.п.» [1, с. 12].  </w:t>
      </w:r>
    </w:p>
    <w:p w:rsidR="000E2FE6" w:rsidRDefault="000E2FE6" w:rsidP="000E2FE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0E2FE6" w:rsidRDefault="000E2FE6" w:rsidP="000E2FE6">
      <w:pPr>
        <w:widowControl w:val="0"/>
        <w:shd w:val="clear" w:color="auto" w:fill="FFFFFF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br w:type="page"/>
      </w:r>
      <w:r w:rsidRPr="004071E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E2FE6" w:rsidRPr="004071EC" w:rsidRDefault="000E2FE6" w:rsidP="000E2FE6">
      <w:pPr>
        <w:widowControl w:val="0"/>
        <w:shd w:val="clear" w:color="auto" w:fill="FFFFFF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2FE6" w:rsidRDefault="000E2FE6" w:rsidP="000E2FE6">
      <w:pPr>
        <w:widowControl w:val="0"/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1EC">
        <w:rPr>
          <w:rFonts w:ascii="Times New Roman" w:hAnsi="Times New Roman" w:cs="Times New Roman"/>
          <w:b/>
          <w:sz w:val="28"/>
          <w:szCs w:val="28"/>
        </w:rPr>
        <w:t>Пример оформления рисунков и таблиц</w:t>
      </w:r>
    </w:p>
    <w:p w:rsidR="00BC6C4F" w:rsidRDefault="00BC6C4F" w:rsidP="000E2FE6">
      <w:pPr>
        <w:widowControl w:val="0"/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C4F" w:rsidRDefault="00BC6C4F" w:rsidP="000E2FE6">
      <w:pPr>
        <w:widowControl w:val="0"/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0" w:name="_Toc405485870"/>
      <w:bookmarkStart w:id="71" w:name="_Toc405486089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9C359E" wp14:editId="63C1CFF4">
            <wp:simplePos x="0" y="0"/>
            <wp:positionH relativeFrom="column">
              <wp:posOffset>205740</wp:posOffset>
            </wp:positionH>
            <wp:positionV relativeFrom="paragraph">
              <wp:posOffset>27305</wp:posOffset>
            </wp:positionV>
            <wp:extent cx="5631180" cy="3389630"/>
            <wp:effectExtent l="0" t="0" r="762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338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0"/>
      <w:bookmarkEnd w:id="71"/>
    </w:p>
    <w:p w:rsidR="00BC6C4F" w:rsidRDefault="00BC6C4F" w:rsidP="000E2FE6">
      <w:pPr>
        <w:widowControl w:val="0"/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C4F" w:rsidRDefault="00BC6C4F" w:rsidP="000E2FE6">
      <w:pPr>
        <w:widowControl w:val="0"/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C4F" w:rsidRDefault="00BC6C4F" w:rsidP="000E2FE6">
      <w:pPr>
        <w:widowControl w:val="0"/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C4F" w:rsidRDefault="00BC6C4F" w:rsidP="000E2FE6">
      <w:pPr>
        <w:widowControl w:val="0"/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C4F" w:rsidRDefault="00BC6C4F" w:rsidP="000E2FE6">
      <w:pPr>
        <w:widowControl w:val="0"/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C4F" w:rsidRDefault="00BC6C4F" w:rsidP="000E2FE6">
      <w:pPr>
        <w:widowControl w:val="0"/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C4F" w:rsidRPr="004071EC" w:rsidRDefault="00BC6C4F" w:rsidP="000E2FE6">
      <w:pPr>
        <w:widowControl w:val="0"/>
        <w:shd w:val="clear" w:color="auto" w:fill="FFFFFF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FE6" w:rsidRPr="004071EC" w:rsidRDefault="000E2FE6" w:rsidP="000E2FE6">
      <w:pPr>
        <w:widowControl w:val="0"/>
        <w:spacing w:after="0" w:line="360" w:lineRule="auto"/>
        <w:ind w:firstLine="284"/>
        <w:jc w:val="center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0E2FE6" w:rsidRPr="004071EC" w:rsidRDefault="000E2FE6" w:rsidP="000E2FE6">
      <w:pPr>
        <w:widowControl w:val="0"/>
        <w:spacing w:after="0" w:line="360" w:lineRule="auto"/>
        <w:ind w:firstLine="284"/>
        <w:jc w:val="center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0E2FE6" w:rsidRPr="004071EC" w:rsidRDefault="000E2FE6" w:rsidP="000E2FE6">
      <w:pPr>
        <w:widowControl w:val="0"/>
        <w:spacing w:after="0" w:line="360" w:lineRule="auto"/>
        <w:ind w:firstLine="284"/>
        <w:jc w:val="center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0E2FE6" w:rsidRPr="004071EC" w:rsidRDefault="000E2FE6" w:rsidP="000E2FE6">
      <w:pPr>
        <w:widowControl w:val="0"/>
        <w:spacing w:after="0" w:line="360" w:lineRule="auto"/>
        <w:ind w:firstLine="284"/>
        <w:jc w:val="center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0E2FE6" w:rsidRPr="004071EC" w:rsidRDefault="000E2FE6" w:rsidP="000E2FE6">
      <w:pPr>
        <w:widowControl w:val="0"/>
        <w:spacing w:after="0" w:line="360" w:lineRule="auto"/>
        <w:ind w:firstLine="284"/>
        <w:jc w:val="center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0E2FE6" w:rsidRDefault="000E2FE6" w:rsidP="000E2FE6">
      <w:pPr>
        <w:widowControl w:val="0"/>
        <w:spacing w:after="0" w:line="360" w:lineRule="auto"/>
        <w:ind w:firstLine="284"/>
        <w:jc w:val="center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0E2FE6" w:rsidRPr="004071EC" w:rsidRDefault="000E2FE6" w:rsidP="000E2FE6">
      <w:pPr>
        <w:widowControl w:val="0"/>
        <w:spacing w:after="0" w:line="360" w:lineRule="auto"/>
        <w:ind w:firstLine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72" w:name="_Toc405485871"/>
      <w:bookmarkStart w:id="73" w:name="_Toc405486090"/>
      <w:r w:rsidRPr="004071EC">
        <w:rPr>
          <w:rFonts w:ascii="Times New Roman" w:hAnsi="Times New Roman" w:cs="Times New Roman"/>
          <w:bCs/>
          <w:iCs/>
          <w:sz w:val="28"/>
          <w:szCs w:val="28"/>
        </w:rPr>
        <w:t>Рисунок 1.</w:t>
      </w: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C37EDA">
        <w:rPr>
          <w:rFonts w:ascii="Times New Roman" w:hAnsi="Times New Roman" w:cs="Times New Roman"/>
          <w:bCs/>
          <w:iCs/>
          <w:sz w:val="28"/>
          <w:szCs w:val="28"/>
        </w:rPr>
        <w:t xml:space="preserve"> –</w:t>
      </w:r>
      <w:r w:rsidRPr="004071EC">
        <w:rPr>
          <w:rFonts w:ascii="Times New Roman" w:hAnsi="Times New Roman" w:cs="Times New Roman"/>
          <w:bCs/>
          <w:iCs/>
          <w:sz w:val="28"/>
          <w:szCs w:val="28"/>
        </w:rPr>
        <w:t xml:space="preserve"> Основные составляющие SWOT-анализа</w:t>
      </w:r>
      <w:bookmarkEnd w:id="72"/>
      <w:bookmarkEnd w:id="73"/>
    </w:p>
    <w:p w:rsidR="000E2FE6" w:rsidRPr="004071EC" w:rsidRDefault="000E2FE6" w:rsidP="000E2FE6">
      <w:pPr>
        <w:pStyle w:val="Default"/>
        <w:widowControl w:val="0"/>
        <w:jc w:val="center"/>
        <w:rPr>
          <w:b/>
        </w:rPr>
      </w:pPr>
    </w:p>
    <w:p w:rsidR="000E2FE6" w:rsidRDefault="000E2FE6" w:rsidP="000E2FE6">
      <w:pPr>
        <w:pStyle w:val="Default"/>
        <w:widowControl w:val="0"/>
        <w:jc w:val="center"/>
        <w:rPr>
          <w:b/>
        </w:rPr>
      </w:pPr>
    </w:p>
    <w:p w:rsidR="00BC6C4F" w:rsidRDefault="00BC6C4F" w:rsidP="000E2FE6">
      <w:pPr>
        <w:pStyle w:val="Default"/>
        <w:widowControl w:val="0"/>
        <w:jc w:val="center"/>
        <w:rPr>
          <w:b/>
        </w:rPr>
      </w:pPr>
    </w:p>
    <w:p w:rsidR="00BC6C4F" w:rsidRDefault="00BC6C4F" w:rsidP="000E2FE6">
      <w:pPr>
        <w:pStyle w:val="Default"/>
        <w:widowControl w:val="0"/>
        <w:jc w:val="center"/>
        <w:rPr>
          <w:b/>
        </w:rPr>
      </w:pPr>
    </w:p>
    <w:p w:rsidR="00BC6C4F" w:rsidRDefault="00BC6C4F" w:rsidP="000E2FE6">
      <w:pPr>
        <w:pStyle w:val="Default"/>
        <w:widowControl w:val="0"/>
        <w:jc w:val="center"/>
        <w:rPr>
          <w:b/>
        </w:rPr>
      </w:pPr>
    </w:p>
    <w:p w:rsidR="00BC6C4F" w:rsidRDefault="00BC6C4F" w:rsidP="000E2FE6">
      <w:pPr>
        <w:pStyle w:val="Default"/>
        <w:widowControl w:val="0"/>
        <w:jc w:val="center"/>
        <w:rPr>
          <w:b/>
        </w:rPr>
      </w:pPr>
      <w:bookmarkStart w:id="74" w:name="_GoBack"/>
      <w:bookmarkEnd w:id="74"/>
    </w:p>
    <w:p w:rsidR="000E2FE6" w:rsidRDefault="000E2FE6" w:rsidP="000E2FE6">
      <w:pPr>
        <w:widowControl w:val="0"/>
        <w:spacing w:after="0"/>
        <w:jc w:val="both"/>
      </w:pPr>
      <w:r>
        <w:rPr>
          <w:sz w:val="28"/>
          <w:szCs w:val="28"/>
        </w:rPr>
        <w:object w:dxaOrig="9165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2in" o:ole="">
            <v:imagedata r:id="rId11" o:title=""/>
          </v:shape>
          <o:OLEObject Type="Embed" ProgID="MSGraph.Chart.8" ShapeID="_x0000_i1025" DrawAspect="Content" ObjectID="_1780038201" r:id="rId12">
            <o:FieldCodes>\s</o:FieldCodes>
          </o:OLEObject>
        </w:object>
      </w:r>
    </w:p>
    <w:p w:rsidR="000E2FE6" w:rsidRPr="00C37EDA" w:rsidRDefault="000E2FE6" w:rsidP="000E2FE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7EDA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 xml:space="preserve">унок </w:t>
      </w:r>
      <w:r w:rsidRPr="00C37ED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 –</w:t>
      </w:r>
      <w:r w:rsidRPr="00C37EDA">
        <w:rPr>
          <w:rFonts w:ascii="Times New Roman" w:hAnsi="Times New Roman" w:cs="Times New Roman"/>
          <w:sz w:val="28"/>
          <w:szCs w:val="28"/>
        </w:rPr>
        <w:t xml:space="preserve"> Динамика привлеченных средств банковской системы Российской Федерации в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37ED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C37EDA">
        <w:rPr>
          <w:rFonts w:ascii="Times New Roman" w:hAnsi="Times New Roman" w:cs="Times New Roman"/>
          <w:sz w:val="28"/>
          <w:szCs w:val="28"/>
        </w:rPr>
        <w:t xml:space="preserve"> гг., %</w:t>
      </w:r>
    </w:p>
    <w:p w:rsidR="000E2FE6" w:rsidRDefault="000E2FE6" w:rsidP="000E2FE6">
      <w:pPr>
        <w:pStyle w:val="Default"/>
        <w:widowControl w:val="0"/>
        <w:jc w:val="center"/>
        <w:rPr>
          <w:b/>
        </w:rPr>
      </w:pPr>
    </w:p>
    <w:p w:rsidR="000E2FE6" w:rsidRDefault="000E2FE6" w:rsidP="000E2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  <w:r w:rsidRPr="00CE150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</w:p>
    <w:p w:rsidR="000E2FE6" w:rsidRPr="00CE150F" w:rsidRDefault="000E2FE6" w:rsidP="000E2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2FE6" w:rsidRPr="004071EC" w:rsidRDefault="000E2FE6" w:rsidP="000E2FE6">
      <w:pPr>
        <w:pStyle w:val="Default"/>
        <w:widowControl w:val="0"/>
        <w:jc w:val="center"/>
        <w:rPr>
          <w:b/>
        </w:rPr>
      </w:pPr>
    </w:p>
    <w:p w:rsidR="000E2FE6" w:rsidRPr="004071EC" w:rsidRDefault="000E2FE6" w:rsidP="000E2FE6">
      <w:pPr>
        <w:widowControl w:val="0"/>
        <w:spacing w:after="0" w:line="360" w:lineRule="auto"/>
        <w:ind w:firstLine="770"/>
        <w:outlineLvl w:val="0"/>
        <w:rPr>
          <w:rFonts w:ascii="Times New Roman" w:hAnsi="Times New Roman" w:cs="Times New Roman"/>
          <w:sz w:val="28"/>
          <w:szCs w:val="28"/>
        </w:rPr>
      </w:pPr>
      <w:bookmarkStart w:id="75" w:name="_Toc405485872"/>
      <w:bookmarkStart w:id="76" w:name="_Toc405486091"/>
      <w:r w:rsidRPr="004071EC">
        <w:rPr>
          <w:rFonts w:ascii="Times New Roman" w:hAnsi="Times New Roman" w:cs="Times New Roman"/>
          <w:bCs/>
          <w:iCs/>
          <w:sz w:val="28"/>
          <w:szCs w:val="28"/>
        </w:rPr>
        <w:t>Таблица 1.</w:t>
      </w: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4071E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4071EC">
        <w:rPr>
          <w:rFonts w:ascii="Times New Roman" w:hAnsi="Times New Roman" w:cs="Times New Roman"/>
          <w:bCs/>
          <w:iCs/>
          <w:sz w:val="28"/>
          <w:szCs w:val="28"/>
        </w:rPr>
        <w:t xml:space="preserve"> Матрица SWOT-анализа</w:t>
      </w:r>
      <w:bookmarkEnd w:id="75"/>
      <w:bookmarkEnd w:id="7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4029"/>
        <w:gridCol w:w="3653"/>
      </w:tblGrid>
      <w:tr w:rsidR="000E2FE6" w:rsidRPr="004071EC" w:rsidTr="00672B05">
        <w:tc>
          <w:tcPr>
            <w:tcW w:w="0" w:type="auto"/>
          </w:tcPr>
          <w:p w:rsidR="000E2FE6" w:rsidRPr="004071EC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C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Критерии</w:t>
            </w:r>
          </w:p>
        </w:tc>
        <w:tc>
          <w:tcPr>
            <w:tcW w:w="0" w:type="auto"/>
          </w:tcPr>
          <w:p w:rsidR="000E2FE6" w:rsidRPr="004071EC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C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Возможности (</w:t>
            </w:r>
            <w:proofErr w:type="spellStart"/>
            <w:r w:rsidRPr="004071EC">
              <w:rPr>
                <w:rFonts w:ascii="Times New Roman" w:hAnsi="Times New Roman" w:cs="Times New Roman"/>
                <w:bCs/>
                <w:sz w:val="28"/>
                <w:szCs w:val="28"/>
              </w:rPr>
              <w:t>Opportunities</w:t>
            </w:r>
            <w:proofErr w:type="spellEnd"/>
            <w:r w:rsidRPr="004071E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0E2FE6" w:rsidRPr="004071EC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C">
              <w:rPr>
                <w:rFonts w:ascii="Times New Roman" w:hAnsi="Times New Roman" w:cs="Times New Roman"/>
                <w:bCs/>
                <w:sz w:val="28"/>
                <w:szCs w:val="28"/>
              </w:rPr>
              <w:t>Угрозы (</w:t>
            </w:r>
            <w:proofErr w:type="spellStart"/>
            <w:r w:rsidRPr="004071EC">
              <w:rPr>
                <w:rFonts w:ascii="Times New Roman" w:hAnsi="Times New Roman" w:cs="Times New Roman"/>
                <w:bCs/>
                <w:sz w:val="28"/>
                <w:szCs w:val="28"/>
              </w:rPr>
              <w:t>Threats</w:t>
            </w:r>
            <w:proofErr w:type="spellEnd"/>
            <w:r w:rsidRPr="004071E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0E2FE6" w:rsidRPr="004071EC" w:rsidTr="00672B05">
        <w:tc>
          <w:tcPr>
            <w:tcW w:w="0" w:type="auto"/>
            <w:vAlign w:val="center"/>
          </w:tcPr>
          <w:p w:rsidR="000E2FE6" w:rsidRPr="004071EC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C">
              <w:rPr>
                <w:rFonts w:ascii="Times New Roman" w:hAnsi="Times New Roman" w:cs="Times New Roman"/>
                <w:bCs/>
                <w:sz w:val="28"/>
                <w:szCs w:val="28"/>
              </w:rPr>
              <w:t>Сильные стороны (</w:t>
            </w:r>
            <w:proofErr w:type="spellStart"/>
            <w:r w:rsidRPr="004071EC">
              <w:rPr>
                <w:rFonts w:ascii="Times New Roman" w:hAnsi="Times New Roman" w:cs="Times New Roman"/>
                <w:bCs/>
                <w:sz w:val="28"/>
                <w:szCs w:val="28"/>
              </w:rPr>
              <w:t>Strengths</w:t>
            </w:r>
            <w:proofErr w:type="spellEnd"/>
            <w:r w:rsidRPr="004071E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:rsidR="000E2FE6" w:rsidRPr="004071EC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C">
              <w:rPr>
                <w:rFonts w:ascii="Times New Roman" w:hAnsi="Times New Roman" w:cs="Times New Roman"/>
                <w:sz w:val="28"/>
                <w:szCs w:val="28"/>
              </w:rPr>
              <w:t>1.S-O: Позволят ли сильные стороны получить преимущества благодаря возможностям?</w:t>
            </w:r>
          </w:p>
          <w:p w:rsidR="000E2FE6" w:rsidRPr="004071EC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E2FE6" w:rsidRPr="004071EC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C">
              <w:rPr>
                <w:rFonts w:ascii="Times New Roman" w:hAnsi="Times New Roman" w:cs="Times New Roman"/>
                <w:sz w:val="28"/>
                <w:szCs w:val="28"/>
              </w:rPr>
              <w:t xml:space="preserve">3.S-T: Позволит ли использование сильных сторон преодолеть или </w:t>
            </w:r>
            <w:proofErr w:type="gramStart"/>
            <w:r w:rsidRPr="004071EC">
              <w:rPr>
                <w:rFonts w:ascii="Times New Roman" w:hAnsi="Times New Roman" w:cs="Times New Roman"/>
                <w:sz w:val="28"/>
                <w:szCs w:val="28"/>
              </w:rPr>
              <w:t>избежать</w:t>
            </w:r>
            <w:proofErr w:type="gramEnd"/>
            <w:r w:rsidRPr="004071EC">
              <w:rPr>
                <w:rFonts w:ascii="Times New Roman" w:hAnsi="Times New Roman" w:cs="Times New Roman"/>
                <w:sz w:val="28"/>
                <w:szCs w:val="28"/>
              </w:rPr>
              <w:t> нависающие угрозы?</w:t>
            </w:r>
          </w:p>
        </w:tc>
      </w:tr>
      <w:tr w:rsidR="000E2FE6" w:rsidRPr="004071EC" w:rsidTr="00672B05">
        <w:tc>
          <w:tcPr>
            <w:tcW w:w="0" w:type="auto"/>
            <w:vAlign w:val="center"/>
          </w:tcPr>
          <w:p w:rsidR="000E2FE6" w:rsidRPr="004071EC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C">
              <w:rPr>
                <w:rFonts w:ascii="Times New Roman" w:hAnsi="Times New Roman" w:cs="Times New Roman"/>
                <w:bCs/>
                <w:sz w:val="28"/>
                <w:szCs w:val="28"/>
              </w:rPr>
              <w:t>Слабые стороны (</w:t>
            </w:r>
            <w:proofErr w:type="spellStart"/>
            <w:r w:rsidRPr="004071EC">
              <w:rPr>
                <w:rFonts w:ascii="Times New Roman" w:hAnsi="Times New Roman" w:cs="Times New Roman"/>
                <w:bCs/>
                <w:sz w:val="28"/>
                <w:szCs w:val="28"/>
              </w:rPr>
              <w:t>Weaknesses</w:t>
            </w:r>
            <w:proofErr w:type="spellEnd"/>
            <w:r w:rsidRPr="004071E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:rsidR="000E2FE6" w:rsidRPr="004071EC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C">
              <w:rPr>
                <w:rFonts w:ascii="Times New Roman" w:hAnsi="Times New Roman" w:cs="Times New Roman"/>
                <w:sz w:val="28"/>
                <w:szCs w:val="28"/>
              </w:rPr>
              <w:t>2.W-O: Препятствуют ли слабые стороны использованию возможностей, и как преодолеть слабые стороны за счет появившихся возможностей?</w:t>
            </w:r>
          </w:p>
        </w:tc>
        <w:tc>
          <w:tcPr>
            <w:tcW w:w="0" w:type="auto"/>
            <w:vAlign w:val="center"/>
          </w:tcPr>
          <w:p w:rsidR="000E2FE6" w:rsidRPr="004071EC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EC">
              <w:rPr>
                <w:rFonts w:ascii="Times New Roman" w:hAnsi="Times New Roman" w:cs="Times New Roman"/>
                <w:sz w:val="28"/>
                <w:szCs w:val="28"/>
              </w:rPr>
              <w:t>4.W-T: Препятствуют ли слабые стороны избежать угроз, и возможно ли одновременно преодолеть угрозы и избавиться от слабости?</w:t>
            </w:r>
          </w:p>
        </w:tc>
      </w:tr>
    </w:tbl>
    <w:p w:rsidR="000E2FE6" w:rsidRDefault="000E2FE6" w:rsidP="000E2FE6">
      <w:pPr>
        <w:widowControl w:val="0"/>
        <w:spacing w:after="0" w:line="360" w:lineRule="auto"/>
        <w:rPr>
          <w:sz w:val="28"/>
          <w:szCs w:val="28"/>
        </w:rPr>
      </w:pPr>
    </w:p>
    <w:p w:rsidR="000E2FE6" w:rsidRPr="00706EAE" w:rsidRDefault="000E2FE6" w:rsidP="000E2FE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AE">
        <w:rPr>
          <w:rFonts w:ascii="Times New Roman" w:hAnsi="Times New Roman" w:cs="Times New Roman"/>
          <w:sz w:val="28"/>
          <w:szCs w:val="28"/>
        </w:rPr>
        <w:t>Таблица 1.2 – Объем и структура вкладов физических лиц, привлеченных банковской системой Российской Федерации в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706EA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06EAE">
        <w:rPr>
          <w:rFonts w:ascii="Times New Roman" w:hAnsi="Times New Roman" w:cs="Times New Roman"/>
          <w:sz w:val="28"/>
          <w:szCs w:val="28"/>
        </w:rPr>
        <w:t xml:space="preserve"> гг., по видам валют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1812"/>
        <w:gridCol w:w="1813"/>
        <w:gridCol w:w="1813"/>
        <w:gridCol w:w="2173"/>
      </w:tblGrid>
      <w:tr w:rsidR="000E2FE6" w:rsidRPr="00BD289F" w:rsidTr="00672B05">
        <w:tc>
          <w:tcPr>
            <w:tcW w:w="1749" w:type="dxa"/>
            <w:vMerge w:val="restart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25" w:type="dxa"/>
            <w:gridSpan w:val="2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Вклады в рублях</w:t>
            </w:r>
          </w:p>
        </w:tc>
        <w:tc>
          <w:tcPr>
            <w:tcW w:w="3986" w:type="dxa"/>
            <w:gridSpan w:val="2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 xml:space="preserve">Вклады в иностранной валюте </w:t>
            </w:r>
          </w:p>
        </w:tc>
      </w:tr>
      <w:tr w:rsidR="000E2FE6" w:rsidRPr="00BD289F" w:rsidTr="00672B05">
        <w:tc>
          <w:tcPr>
            <w:tcW w:w="1749" w:type="dxa"/>
            <w:vMerge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1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1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7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E2FE6" w:rsidRPr="00BD289F" w:rsidTr="00672B05">
        <w:tc>
          <w:tcPr>
            <w:tcW w:w="1749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12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2082024</w:t>
            </w:r>
          </w:p>
        </w:tc>
        <w:tc>
          <w:tcPr>
            <w:tcW w:w="181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75,58</w:t>
            </w:r>
          </w:p>
        </w:tc>
        <w:tc>
          <w:tcPr>
            <w:tcW w:w="181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672537</w:t>
            </w:r>
          </w:p>
        </w:tc>
        <w:tc>
          <w:tcPr>
            <w:tcW w:w="217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24,42</w:t>
            </w:r>
          </w:p>
        </w:tc>
      </w:tr>
      <w:tr w:rsidR="000E2FE6" w:rsidRPr="00BD289F" w:rsidTr="00672B05">
        <w:tc>
          <w:tcPr>
            <w:tcW w:w="1749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12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3163558</w:t>
            </w:r>
          </w:p>
        </w:tc>
        <w:tc>
          <w:tcPr>
            <w:tcW w:w="181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83,39</w:t>
            </w:r>
          </w:p>
        </w:tc>
        <w:tc>
          <w:tcPr>
            <w:tcW w:w="181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629925</w:t>
            </w:r>
          </w:p>
        </w:tc>
        <w:tc>
          <w:tcPr>
            <w:tcW w:w="217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16,61</w:t>
            </w:r>
          </w:p>
        </w:tc>
      </w:tr>
      <w:tr w:rsidR="000E2FE6" w:rsidRPr="00BD289F" w:rsidTr="00672B05">
        <w:tc>
          <w:tcPr>
            <w:tcW w:w="1749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12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4492868</w:t>
            </w:r>
          </w:p>
        </w:tc>
        <w:tc>
          <w:tcPr>
            <w:tcW w:w="181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87,08</w:t>
            </w:r>
          </w:p>
        </w:tc>
        <w:tc>
          <w:tcPr>
            <w:tcW w:w="181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17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12,92</w:t>
            </w:r>
          </w:p>
        </w:tc>
      </w:tr>
      <w:tr w:rsidR="000E2FE6" w:rsidRPr="00BD289F" w:rsidTr="00672B05">
        <w:tc>
          <w:tcPr>
            <w:tcW w:w="1749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12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4332678</w:t>
            </w:r>
          </w:p>
        </w:tc>
        <w:tc>
          <w:tcPr>
            <w:tcW w:w="181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73,35</w:t>
            </w:r>
          </w:p>
        </w:tc>
        <w:tc>
          <w:tcPr>
            <w:tcW w:w="181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1574312</w:t>
            </w:r>
          </w:p>
        </w:tc>
        <w:tc>
          <w:tcPr>
            <w:tcW w:w="217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26,65</w:t>
            </w:r>
          </w:p>
        </w:tc>
      </w:tr>
      <w:tr w:rsidR="000E2FE6" w:rsidRPr="00BD289F" w:rsidTr="00672B05">
        <w:tc>
          <w:tcPr>
            <w:tcW w:w="1749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12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5043709</w:t>
            </w:r>
          </w:p>
        </w:tc>
        <w:tc>
          <w:tcPr>
            <w:tcW w:w="181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72,07</w:t>
            </w:r>
          </w:p>
        </w:tc>
        <w:tc>
          <w:tcPr>
            <w:tcW w:w="181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1955042</w:t>
            </w:r>
          </w:p>
        </w:tc>
        <w:tc>
          <w:tcPr>
            <w:tcW w:w="2173" w:type="dxa"/>
          </w:tcPr>
          <w:p w:rsidR="000E2FE6" w:rsidRPr="00706EAE" w:rsidRDefault="000E2FE6" w:rsidP="00672B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AE">
              <w:rPr>
                <w:rFonts w:ascii="Times New Roman" w:hAnsi="Times New Roman" w:cs="Times New Roman"/>
                <w:sz w:val="24"/>
                <w:szCs w:val="24"/>
              </w:rPr>
              <w:t>27,93</w:t>
            </w:r>
          </w:p>
        </w:tc>
      </w:tr>
    </w:tbl>
    <w:p w:rsidR="000E2FE6" w:rsidRDefault="000E2FE6" w:rsidP="000E2FE6">
      <w:pPr>
        <w:widowControl w:val="0"/>
        <w:spacing w:after="0" w:line="240" w:lineRule="auto"/>
        <w:jc w:val="center"/>
        <w:rPr>
          <w:rStyle w:val="ab"/>
          <w:rFonts w:eastAsia="Calibri"/>
        </w:rPr>
      </w:pPr>
    </w:p>
    <w:p w:rsidR="00422A74" w:rsidRDefault="00422A74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A74" w:rsidRDefault="00422A74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A74" w:rsidRDefault="00422A74" w:rsidP="005609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2A74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53D" w:rsidRDefault="00A3253D" w:rsidP="0050266C">
      <w:pPr>
        <w:spacing w:after="0" w:line="240" w:lineRule="auto"/>
      </w:pPr>
      <w:r>
        <w:separator/>
      </w:r>
    </w:p>
  </w:endnote>
  <w:endnote w:type="continuationSeparator" w:id="0">
    <w:p w:rsidR="00A3253D" w:rsidRDefault="00A3253D" w:rsidP="0050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890520"/>
      <w:docPartObj>
        <w:docPartGallery w:val="Page Numbers (Bottom of Page)"/>
        <w:docPartUnique/>
      </w:docPartObj>
    </w:sdtPr>
    <w:sdtEndPr/>
    <w:sdtContent>
      <w:p w:rsidR="0050266C" w:rsidRDefault="005026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C4F">
          <w:rPr>
            <w:noProof/>
          </w:rPr>
          <w:t>15</w:t>
        </w:r>
        <w:r>
          <w:fldChar w:fldCharType="end"/>
        </w:r>
      </w:p>
    </w:sdtContent>
  </w:sdt>
  <w:p w:rsidR="0050266C" w:rsidRDefault="005026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53D" w:rsidRDefault="00A3253D" w:rsidP="0050266C">
      <w:pPr>
        <w:spacing w:after="0" w:line="240" w:lineRule="auto"/>
      </w:pPr>
      <w:r>
        <w:separator/>
      </w:r>
    </w:p>
  </w:footnote>
  <w:footnote w:type="continuationSeparator" w:id="0">
    <w:p w:rsidR="00A3253D" w:rsidRDefault="00A3253D" w:rsidP="00502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6F8"/>
    <w:multiLevelType w:val="multilevel"/>
    <w:tmpl w:val="290061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1">
    <w:nsid w:val="373C35C5"/>
    <w:multiLevelType w:val="hybridMultilevel"/>
    <w:tmpl w:val="D41CDCC6"/>
    <w:lvl w:ilvl="0" w:tplc="EEE42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7D6FFD"/>
    <w:multiLevelType w:val="multilevel"/>
    <w:tmpl w:val="547D6FFD"/>
    <w:name w:val="Нумерованный список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>
    <w:nsid w:val="547D7000"/>
    <w:multiLevelType w:val="multilevel"/>
    <w:tmpl w:val="547D7000"/>
    <w:name w:val="Нумерованный список 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>
    <w:nsid w:val="547D7002"/>
    <w:multiLevelType w:val="multilevel"/>
    <w:tmpl w:val="547D7002"/>
    <w:name w:val="Нумерованный список 6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decimal"/>
      <w:lvlText w:val="%2."/>
      <w:lvlJc w:val="left"/>
      <w:rPr>
        <w:b w:val="0"/>
        <w:i w:val="0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>
    <w:nsid w:val="547D7005"/>
    <w:multiLevelType w:val="multilevel"/>
    <w:tmpl w:val="547D7005"/>
    <w:name w:val="Нумерованный список 9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>
    <w:nsid w:val="547D7006"/>
    <w:multiLevelType w:val="multilevel"/>
    <w:tmpl w:val="547D7006"/>
    <w:name w:val="Нумерованный список 1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>
    <w:nsid w:val="547D7007"/>
    <w:multiLevelType w:val="multilevel"/>
    <w:tmpl w:val="547D7007"/>
    <w:name w:val="Нумерованный список 1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>
    <w:nsid w:val="547D7009"/>
    <w:multiLevelType w:val="multilevel"/>
    <w:tmpl w:val="547D7009"/>
    <w:name w:val="Нумерованный список 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>
    <w:nsid w:val="547D700B"/>
    <w:multiLevelType w:val="multilevel"/>
    <w:tmpl w:val="547D700B"/>
    <w:name w:val="Нумерованный список 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">
    <w:nsid w:val="547D700C"/>
    <w:multiLevelType w:val="multilevel"/>
    <w:tmpl w:val="547D700C"/>
    <w:name w:val="Нумерованный список 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>
    <w:nsid w:val="547D700D"/>
    <w:multiLevelType w:val="multilevel"/>
    <w:tmpl w:val="547D700D"/>
    <w:name w:val="Нумерованный список 1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>
    <w:nsid w:val="547D7010"/>
    <w:multiLevelType w:val="multilevel"/>
    <w:tmpl w:val="547D7010"/>
    <w:name w:val="Нумерованный список 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">
    <w:nsid w:val="547D7013"/>
    <w:multiLevelType w:val="multilevel"/>
    <w:tmpl w:val="547D7013"/>
    <w:name w:val="Нумерованный список 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">
    <w:nsid w:val="547D7016"/>
    <w:multiLevelType w:val="multilevel"/>
    <w:tmpl w:val="547D7016"/>
    <w:name w:val="Нумерованный список 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>
    <w:nsid w:val="547D7018"/>
    <w:multiLevelType w:val="multilevel"/>
    <w:tmpl w:val="547D7018"/>
    <w:name w:val="Нумерованный список 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C2"/>
    <w:rsid w:val="000C133A"/>
    <w:rsid w:val="000C325E"/>
    <w:rsid w:val="000E2FE6"/>
    <w:rsid w:val="00106496"/>
    <w:rsid w:val="001275AE"/>
    <w:rsid w:val="0013493E"/>
    <w:rsid w:val="00174F58"/>
    <w:rsid w:val="001C0D2F"/>
    <w:rsid w:val="001E35BD"/>
    <w:rsid w:val="00221DC9"/>
    <w:rsid w:val="00274178"/>
    <w:rsid w:val="00315357"/>
    <w:rsid w:val="00320BD7"/>
    <w:rsid w:val="00327D58"/>
    <w:rsid w:val="00377DC3"/>
    <w:rsid w:val="003C7605"/>
    <w:rsid w:val="00422A74"/>
    <w:rsid w:val="00425C21"/>
    <w:rsid w:val="00463E86"/>
    <w:rsid w:val="004E530A"/>
    <w:rsid w:val="0050266C"/>
    <w:rsid w:val="005208B4"/>
    <w:rsid w:val="00526023"/>
    <w:rsid w:val="005609BB"/>
    <w:rsid w:val="005B6245"/>
    <w:rsid w:val="00666A8D"/>
    <w:rsid w:val="006B7558"/>
    <w:rsid w:val="006F4334"/>
    <w:rsid w:val="007244A5"/>
    <w:rsid w:val="0073188F"/>
    <w:rsid w:val="00733E34"/>
    <w:rsid w:val="008262B9"/>
    <w:rsid w:val="00976FBA"/>
    <w:rsid w:val="009D5DD3"/>
    <w:rsid w:val="00A3253D"/>
    <w:rsid w:val="00A4710D"/>
    <w:rsid w:val="00A54CA2"/>
    <w:rsid w:val="00AA15C5"/>
    <w:rsid w:val="00B34DD9"/>
    <w:rsid w:val="00B81F72"/>
    <w:rsid w:val="00B856C2"/>
    <w:rsid w:val="00BA3759"/>
    <w:rsid w:val="00BA51EC"/>
    <w:rsid w:val="00BC6C4F"/>
    <w:rsid w:val="00C048BE"/>
    <w:rsid w:val="00C163EC"/>
    <w:rsid w:val="00C27EBB"/>
    <w:rsid w:val="00C92D64"/>
    <w:rsid w:val="00CC05C1"/>
    <w:rsid w:val="00CE7072"/>
    <w:rsid w:val="00D85335"/>
    <w:rsid w:val="00E51CC0"/>
    <w:rsid w:val="00E64A3D"/>
    <w:rsid w:val="00EB7935"/>
    <w:rsid w:val="00ED74FB"/>
    <w:rsid w:val="00F044E1"/>
    <w:rsid w:val="00F4563B"/>
    <w:rsid w:val="00F52960"/>
    <w:rsid w:val="00F548A8"/>
    <w:rsid w:val="00FA5FBC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2960"/>
    <w:pPr>
      <w:keepNext/>
      <w:keepLines/>
      <w:spacing w:before="480" w:after="0" w:line="240" w:lineRule="auto"/>
      <w:jc w:val="center"/>
      <w:outlineLvl w:val="0"/>
    </w:pPr>
    <w:rPr>
      <w:rFonts w:ascii="Times New Roman" w:eastAsia="Cambria" w:hAnsi="Times New Roman" w:cs="Cambria"/>
      <w:b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52960"/>
    <w:pPr>
      <w:keepNext/>
      <w:spacing w:before="240" w:after="60"/>
      <w:ind w:left="708"/>
      <w:outlineLvl w:val="1"/>
    </w:pPr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960"/>
    <w:rPr>
      <w:rFonts w:ascii="Times New Roman" w:eastAsia="Cambria" w:hAnsi="Times New Roman" w:cs="Cambria"/>
      <w:b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52960"/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styleId="a3">
    <w:name w:val="Normal (Web)"/>
    <w:basedOn w:val="a"/>
    <w:rsid w:val="00F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customStyle="1" w:styleId="11">
    <w:name w:val="Без интервала1"/>
    <w:rsid w:val="00F52960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21">
    <w:name w:val="Основной текст 21"/>
    <w:basedOn w:val="a"/>
    <w:rsid w:val="00F5296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ED74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66C"/>
  </w:style>
  <w:style w:type="paragraph" w:styleId="a7">
    <w:name w:val="footer"/>
    <w:basedOn w:val="a"/>
    <w:link w:val="a8"/>
    <w:uiPriority w:val="99"/>
    <w:unhideWhenUsed/>
    <w:rsid w:val="0050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66C"/>
  </w:style>
  <w:style w:type="character" w:styleId="a9">
    <w:name w:val="Hyperlink"/>
    <w:basedOn w:val="a0"/>
    <w:uiPriority w:val="99"/>
    <w:rsid w:val="006B7558"/>
    <w:rPr>
      <w:color w:val="0000FF"/>
      <w:u w:val="single"/>
    </w:rPr>
  </w:style>
  <w:style w:type="table" w:styleId="aa">
    <w:name w:val="Table Grid"/>
    <w:basedOn w:val="a1"/>
    <w:uiPriority w:val="59"/>
    <w:rsid w:val="006B7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Подпись к таблице"/>
    <w:rsid w:val="000E2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2960"/>
    <w:pPr>
      <w:keepNext/>
      <w:keepLines/>
      <w:spacing w:before="480" w:after="0" w:line="240" w:lineRule="auto"/>
      <w:jc w:val="center"/>
      <w:outlineLvl w:val="0"/>
    </w:pPr>
    <w:rPr>
      <w:rFonts w:ascii="Times New Roman" w:eastAsia="Cambria" w:hAnsi="Times New Roman" w:cs="Cambria"/>
      <w:b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52960"/>
    <w:pPr>
      <w:keepNext/>
      <w:spacing w:before="240" w:after="60"/>
      <w:ind w:left="708"/>
      <w:outlineLvl w:val="1"/>
    </w:pPr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960"/>
    <w:rPr>
      <w:rFonts w:ascii="Times New Roman" w:eastAsia="Cambria" w:hAnsi="Times New Roman" w:cs="Cambria"/>
      <w:b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52960"/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styleId="a3">
    <w:name w:val="Normal (Web)"/>
    <w:basedOn w:val="a"/>
    <w:rsid w:val="00F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customStyle="1" w:styleId="11">
    <w:name w:val="Без интервала1"/>
    <w:rsid w:val="00F52960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21">
    <w:name w:val="Основной текст 21"/>
    <w:basedOn w:val="a"/>
    <w:rsid w:val="00F5296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ED74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66C"/>
  </w:style>
  <w:style w:type="paragraph" w:styleId="a7">
    <w:name w:val="footer"/>
    <w:basedOn w:val="a"/>
    <w:link w:val="a8"/>
    <w:uiPriority w:val="99"/>
    <w:unhideWhenUsed/>
    <w:rsid w:val="0050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66C"/>
  </w:style>
  <w:style w:type="character" w:styleId="a9">
    <w:name w:val="Hyperlink"/>
    <w:basedOn w:val="a0"/>
    <w:uiPriority w:val="99"/>
    <w:rsid w:val="006B7558"/>
    <w:rPr>
      <w:color w:val="0000FF"/>
      <w:u w:val="single"/>
    </w:rPr>
  </w:style>
  <w:style w:type="table" w:styleId="aa">
    <w:name w:val="Table Grid"/>
    <w:basedOn w:val="a1"/>
    <w:uiPriority w:val="59"/>
    <w:rsid w:val="006B7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Подпись к таблице"/>
    <w:rsid w:val="000E2F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.ivgpu.com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derit.ivanovoob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3919</Words>
  <Characters>22344</Characters>
  <Application>Microsoft Office Word</Application>
  <DocSecurity>0</DocSecurity>
  <Lines>186</Lines>
  <Paragraphs>52</Paragraphs>
  <ScaleCrop>false</ScaleCrop>
  <Company>SPecialiST RePack</Company>
  <LinksUpToDate>false</LinksUpToDate>
  <CharactersWithSpaces>26211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Елена</cp:lastModifiedBy>
  <cp:revision>66</cp:revision>
  <dcterms:created xsi:type="dcterms:W3CDTF">2020-07-04T06:18:00Z</dcterms:created>
  <dcterms:modified xsi:type="dcterms:W3CDTF">2024-06-16T07:17:00Z</dcterms:modified>
</cp:coreProperties>
</file>