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3C" w:rsidRPr="004B01A7" w:rsidRDefault="001C703C" w:rsidP="001C703C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Лекция</w:t>
      </w:r>
      <w:bookmarkStart w:id="0" w:name="_GoBack"/>
      <w:bookmarkEnd w:id="0"/>
      <w:r w:rsidRPr="004B01A7">
        <w:rPr>
          <w:rFonts w:ascii="Bookman Old Style" w:hAnsi="Bookman Old Style"/>
          <w:b/>
          <w:bCs/>
          <w:sz w:val="24"/>
          <w:szCs w:val="24"/>
        </w:rPr>
        <w:t xml:space="preserve"> 7.СТРУКТУРА КАПИТАЛА ПРЕ</w:t>
      </w:r>
      <w:r w:rsidRPr="004B01A7">
        <w:rPr>
          <w:rFonts w:ascii="Bookman Old Style" w:hAnsi="Bookman Old Style"/>
          <w:b/>
          <w:bCs/>
          <w:sz w:val="24"/>
          <w:szCs w:val="24"/>
        </w:rPr>
        <w:t>Д</w:t>
      </w:r>
      <w:r w:rsidRPr="004B01A7">
        <w:rPr>
          <w:rFonts w:ascii="Bookman Old Style" w:hAnsi="Bookman Old Style"/>
          <w:b/>
          <w:bCs/>
          <w:sz w:val="24"/>
          <w:szCs w:val="24"/>
        </w:rPr>
        <w:t>ПРИЯТИЯ</w:t>
      </w:r>
    </w:p>
    <w:p w:rsidR="001C703C" w:rsidRPr="004B01A7" w:rsidRDefault="001C703C" w:rsidP="001C703C">
      <w:pPr>
        <w:pStyle w:val="a3"/>
        <w:widowControl w:val="0"/>
        <w:tabs>
          <w:tab w:val="num" w:pos="284"/>
        </w:tabs>
        <w:ind w:firstLine="0"/>
        <w:rPr>
          <w:sz w:val="24"/>
          <w:szCs w:val="24"/>
        </w:rPr>
      </w:pPr>
    </w:p>
    <w:p w:rsidR="001C703C" w:rsidRPr="004B01A7" w:rsidRDefault="001C703C" w:rsidP="001C703C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1" w:name="_Toc93683842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7.1. Теории структуры капитала</w:t>
      </w:r>
      <w:bookmarkEnd w:id="1"/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i/>
          <w:sz w:val="24"/>
          <w:szCs w:val="24"/>
        </w:rPr>
        <w:t>Структура капитала предприятия</w:t>
      </w:r>
      <w:r w:rsidRPr="004B01A7">
        <w:rPr>
          <w:sz w:val="24"/>
          <w:szCs w:val="24"/>
        </w:rPr>
        <w:t xml:space="preserve"> представляет собой соотн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шение заемных и собственных источников средств, используемых для финансир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вания деятельности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1C703C" w:rsidRPr="004B01A7" w:rsidRDefault="001C703C" w:rsidP="001C703C">
      <w:pPr>
        <w:pStyle w:val="a3"/>
        <w:widowControl w:val="0"/>
        <w:tabs>
          <w:tab w:val="num" w:pos="426"/>
        </w:tabs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Важным понятием в теории структуры капитала является </w:t>
      </w:r>
      <w:r w:rsidRPr="004B01A7">
        <w:rPr>
          <w:i/>
          <w:sz w:val="24"/>
          <w:szCs w:val="24"/>
        </w:rPr>
        <w:t>сто</w:t>
      </w:r>
      <w:r w:rsidRPr="004B01A7">
        <w:rPr>
          <w:i/>
          <w:sz w:val="24"/>
          <w:szCs w:val="24"/>
        </w:rPr>
        <w:t>и</w:t>
      </w:r>
      <w:r w:rsidRPr="004B01A7">
        <w:rPr>
          <w:i/>
          <w:sz w:val="24"/>
          <w:szCs w:val="24"/>
        </w:rPr>
        <w:t>мость фирмы,</w:t>
      </w:r>
      <w:r w:rsidRPr="004B01A7">
        <w:rPr>
          <w:sz w:val="24"/>
          <w:szCs w:val="24"/>
        </w:rPr>
        <w:t xml:space="preserve"> под которой понимается сумма рыночных оценок акционерного и заемного капит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ла.</w:t>
      </w:r>
    </w:p>
    <w:p w:rsidR="001C703C" w:rsidRPr="004B01A7" w:rsidRDefault="001C703C" w:rsidP="001C703C">
      <w:pPr>
        <w:pStyle w:val="a3"/>
        <w:widowControl w:val="0"/>
        <w:tabs>
          <w:tab w:val="num" w:pos="426"/>
        </w:tabs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Оптимальная структура капитала представляет собой такое соотн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шение собственных и заемных средств, при котором </w:t>
      </w:r>
      <w:proofErr w:type="spellStart"/>
      <w:r w:rsidRPr="004B01A7">
        <w:rPr>
          <w:sz w:val="24"/>
          <w:szCs w:val="24"/>
        </w:rPr>
        <w:t>максимизируется</w:t>
      </w:r>
      <w:proofErr w:type="spellEnd"/>
      <w:r w:rsidRPr="004B01A7">
        <w:rPr>
          <w:sz w:val="24"/>
          <w:szCs w:val="24"/>
        </w:rPr>
        <w:t xml:space="preserve"> рыно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ная стоимость фирмы.</w:t>
      </w:r>
    </w:p>
    <w:p w:rsidR="001C703C" w:rsidRPr="004B01A7" w:rsidRDefault="001C703C" w:rsidP="001C703C">
      <w:pPr>
        <w:pStyle w:val="a3"/>
        <w:widowControl w:val="0"/>
        <w:tabs>
          <w:tab w:val="num" w:pos="426"/>
        </w:tabs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Выделяется </w:t>
      </w:r>
      <w:r w:rsidRPr="004B01A7">
        <w:rPr>
          <w:iCs/>
          <w:sz w:val="24"/>
          <w:szCs w:val="24"/>
        </w:rPr>
        <w:t>два теоретических подхода</w:t>
      </w:r>
      <w:r w:rsidRPr="004B01A7">
        <w:rPr>
          <w:i/>
          <w:iCs/>
          <w:sz w:val="24"/>
          <w:szCs w:val="24"/>
        </w:rPr>
        <w:t>,</w:t>
      </w:r>
      <w:r w:rsidRPr="004B01A7">
        <w:rPr>
          <w:sz w:val="24"/>
          <w:szCs w:val="24"/>
        </w:rPr>
        <w:t xml:space="preserve"> оценивающих влияние изм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нения структуры источников финансирования на рыночную стоимость предприятия.</w:t>
      </w:r>
    </w:p>
    <w:p w:rsidR="001C703C" w:rsidRPr="004B01A7" w:rsidRDefault="001C703C" w:rsidP="001C703C">
      <w:pPr>
        <w:pStyle w:val="a3"/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sz w:val="24"/>
          <w:szCs w:val="24"/>
        </w:rPr>
      </w:pPr>
      <w:r w:rsidRPr="004B01A7">
        <w:rPr>
          <w:b/>
          <w:bCs/>
          <w:sz w:val="24"/>
          <w:szCs w:val="24"/>
        </w:rPr>
        <w:t xml:space="preserve">Традиционный подход. 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Основные положения подхода:</w:t>
      </w:r>
    </w:p>
    <w:p w:rsidR="001C703C" w:rsidRPr="004B01A7" w:rsidRDefault="001C703C" w:rsidP="001C703C">
      <w:pPr>
        <w:pStyle w:val="a3"/>
        <w:widowControl w:val="0"/>
        <w:tabs>
          <w:tab w:val="left" w:pos="567"/>
        </w:tabs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1)  Стоимость капитала предприятия зависит от его структуры.</w:t>
      </w:r>
    </w:p>
    <w:p w:rsidR="001C703C" w:rsidRPr="004B01A7" w:rsidRDefault="001C703C" w:rsidP="001C703C">
      <w:pPr>
        <w:pStyle w:val="a3"/>
        <w:widowControl w:val="0"/>
        <w:tabs>
          <w:tab w:val="left" w:pos="567"/>
        </w:tabs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2)  С ростом доли заемного капитала, который является более деш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вым источником финансирования по сравнению с собственным кап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талом, средневзвешенная стоимость капитала снижается, следовательно, рыночная стоимость фирмы возраст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ет.</w:t>
      </w:r>
    </w:p>
    <w:p w:rsidR="001C703C" w:rsidRPr="004B01A7" w:rsidRDefault="001C703C" w:rsidP="001C703C">
      <w:pPr>
        <w:pStyle w:val="a3"/>
        <w:widowControl w:val="0"/>
        <w:tabs>
          <w:tab w:val="left" w:pos="567"/>
        </w:tabs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3)  При значительном увеличении доли заемного капитала в стру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туре пассивов предприятия возрастает финансовый риск, связанный с возмо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ностью неуплаты предприятием долга. В таких условиях кредиторы увел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чивают цену своих кредитов для предприятия, что ведет к увеличению средневзвешенной стоимости капитала предприятия и уменьшению рыно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 xml:space="preserve">ной стоимости фирмы 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4)  Можно найти оптимальную структуру источников, при которой средневзвешенная стоимость капитала будет минимальной, а рыночная стоимость фирмы б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дет максимальной.</w:t>
      </w:r>
    </w:p>
    <w:p w:rsidR="001C703C" w:rsidRPr="004B01A7" w:rsidRDefault="001C703C" w:rsidP="001C703C">
      <w:pPr>
        <w:pStyle w:val="a3"/>
        <w:widowControl w:val="0"/>
        <w:numPr>
          <w:ilvl w:val="0"/>
          <w:numId w:val="1"/>
        </w:numPr>
        <w:tabs>
          <w:tab w:val="num" w:pos="567"/>
        </w:tabs>
        <w:ind w:left="0" w:firstLine="567"/>
        <w:rPr>
          <w:b/>
          <w:iCs/>
          <w:sz w:val="24"/>
          <w:szCs w:val="24"/>
        </w:rPr>
      </w:pPr>
      <w:r w:rsidRPr="004B01A7">
        <w:rPr>
          <w:b/>
          <w:bCs/>
          <w:sz w:val="24"/>
          <w:szCs w:val="24"/>
        </w:rPr>
        <w:t>Теория Модильяни-Миллера.</w:t>
      </w:r>
    </w:p>
    <w:p w:rsidR="001C703C" w:rsidRPr="004B01A7" w:rsidRDefault="001C703C" w:rsidP="001C703C">
      <w:pPr>
        <w:pStyle w:val="a3"/>
        <w:widowControl w:val="0"/>
        <w:ind w:firstLine="567"/>
        <w:rPr>
          <w:i/>
          <w:iCs/>
          <w:sz w:val="24"/>
          <w:szCs w:val="24"/>
        </w:rPr>
      </w:pPr>
      <w:r w:rsidRPr="004B01A7">
        <w:rPr>
          <w:bCs/>
          <w:sz w:val="24"/>
          <w:szCs w:val="24"/>
        </w:rPr>
        <w:t>Данная теория о</w:t>
      </w:r>
      <w:r w:rsidRPr="004B01A7">
        <w:rPr>
          <w:iCs/>
          <w:sz w:val="24"/>
          <w:szCs w:val="24"/>
        </w:rPr>
        <w:t>снована на ряде допущений:</w:t>
      </w:r>
    </w:p>
    <w:p w:rsidR="001C703C" w:rsidRPr="004B01A7" w:rsidRDefault="001C703C" w:rsidP="001C703C">
      <w:pPr>
        <w:pStyle w:val="a3"/>
        <w:widowControl w:val="0"/>
        <w:numPr>
          <w:ilvl w:val="0"/>
          <w:numId w:val="2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акции и облигации предприятия продаются на совершенном рынке капитала. На совершенном рынке капитала отсутствуют комиссионные, 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торые взимают за свои услуги финансовые посредники; час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ные инвесторы и корпоративные инвесторы могут получать займы под одинаковые проценты; информация равнодоступна всем участн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кам рынка;</w:t>
      </w:r>
    </w:p>
    <w:p w:rsidR="001C703C" w:rsidRPr="004B01A7" w:rsidRDefault="001C703C" w:rsidP="001C703C">
      <w:pPr>
        <w:pStyle w:val="a3"/>
        <w:widowControl w:val="0"/>
        <w:numPr>
          <w:ilvl w:val="0"/>
          <w:numId w:val="2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поведение инвесторов на рынке рационально. Под рациональным поведением инвесторов понимается выбор ими таких способов и форм вложения своего капитала, при которых минимизируется риск инвестирования и </w:t>
      </w:r>
      <w:proofErr w:type="spellStart"/>
      <w:r w:rsidRPr="004B01A7">
        <w:rPr>
          <w:sz w:val="24"/>
          <w:szCs w:val="24"/>
        </w:rPr>
        <w:t>макс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мизируется</w:t>
      </w:r>
      <w:proofErr w:type="spellEnd"/>
      <w:r w:rsidRPr="004B01A7">
        <w:rPr>
          <w:sz w:val="24"/>
          <w:szCs w:val="24"/>
        </w:rPr>
        <w:t xml:space="preserve"> доход на вложенный капитал;</w:t>
      </w:r>
    </w:p>
    <w:p w:rsidR="001C703C" w:rsidRPr="004B01A7" w:rsidRDefault="001C703C" w:rsidP="001C703C">
      <w:pPr>
        <w:pStyle w:val="a3"/>
        <w:widowControl w:val="0"/>
        <w:numPr>
          <w:ilvl w:val="0"/>
          <w:numId w:val="2"/>
        </w:numPr>
        <w:tabs>
          <w:tab w:val="num" w:pos="567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ставка процентов по займам является </w:t>
      </w:r>
      <w:proofErr w:type="spellStart"/>
      <w:r w:rsidRPr="004B01A7">
        <w:rPr>
          <w:sz w:val="24"/>
          <w:szCs w:val="24"/>
        </w:rPr>
        <w:t>безри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ковой</w:t>
      </w:r>
      <w:proofErr w:type="spellEnd"/>
      <w:r w:rsidRPr="004B01A7">
        <w:rPr>
          <w:sz w:val="24"/>
          <w:szCs w:val="24"/>
        </w:rPr>
        <w:t>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Основные положения подхода: 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1)  стоимость и структура капитала </w:t>
      </w:r>
      <w:proofErr w:type="gramStart"/>
      <w:r w:rsidRPr="004B01A7">
        <w:rPr>
          <w:sz w:val="24"/>
          <w:szCs w:val="24"/>
        </w:rPr>
        <w:t>независимы</w:t>
      </w:r>
      <w:proofErr w:type="gramEnd"/>
      <w:r w:rsidRPr="004B01A7">
        <w:rPr>
          <w:sz w:val="24"/>
          <w:szCs w:val="24"/>
        </w:rPr>
        <w:t>;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2) с ростом доли более дешевого заемного капитала стоимость кап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тала компании не изменяется, т.к. собственники будут требовать повыш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 своих доходов на акции для компенсации возрастающего финансового ри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ка;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3)  таким образом, стоимость и структуру капитала нельзя оптимиз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ровать, т.к. общая стоимость капитала не зависит от структуры источников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нансирования.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Для обоснования своих убеждений Модильяни и Миллер использов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ли арбитражное доказ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тельство.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sz w:val="24"/>
          <w:szCs w:val="24"/>
        </w:rPr>
        <w:t>Арбитраж</w:t>
      </w:r>
      <w:r w:rsidRPr="004B01A7">
        <w:rPr>
          <w:sz w:val="24"/>
          <w:szCs w:val="24"/>
        </w:rPr>
        <w:t xml:space="preserve"> – это одновременная покупка и продажа активов по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ным ценам. Арбитраж во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можен: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а) когда один и тот же актив имеет разную цену на разных рынках;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lastRenderedPageBreak/>
        <w:t>б) имеются два близких по своим характеристикам актива, один из которых продается по завышенной, а другой по заниженной ц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Авторы теории доказали, что если две компании отличаются структ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рой капитала и рыночной стоимостью, акционеры станут продавать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ции более дорогостоящей компании и покупать акции менее дорогосто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щей. Этот процесс завершится выравниванием рыночной стоимости этих комп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ний.</w:t>
      </w:r>
    </w:p>
    <w:p w:rsidR="001C703C" w:rsidRPr="004B01A7" w:rsidRDefault="001C703C" w:rsidP="001C703C">
      <w:pPr>
        <w:pStyle w:val="a3"/>
        <w:widowControl w:val="0"/>
        <w:ind w:firstLine="567"/>
        <w:rPr>
          <w:i/>
          <w:sz w:val="24"/>
          <w:szCs w:val="24"/>
        </w:rPr>
      </w:pPr>
    </w:p>
    <w:p w:rsidR="001C703C" w:rsidRPr="004B01A7" w:rsidRDefault="001C703C" w:rsidP="001C703C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2" w:name="_Toc93683843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7.2. Факторы, определяющие структ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у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ру капитала</w:t>
      </w:r>
      <w:bookmarkEnd w:id="2"/>
    </w:p>
    <w:p w:rsidR="001C703C" w:rsidRPr="004B01A7" w:rsidRDefault="001C703C" w:rsidP="001C703C">
      <w:pPr>
        <w:widowControl w:val="0"/>
        <w:ind w:firstLine="567"/>
        <w:rPr>
          <w:sz w:val="24"/>
          <w:szCs w:val="24"/>
        </w:rPr>
      </w:pPr>
    </w:p>
    <w:p w:rsidR="001C703C" w:rsidRPr="004B01A7" w:rsidRDefault="001C703C" w:rsidP="001C703C">
      <w:pPr>
        <w:pStyle w:val="a3"/>
        <w:widowControl w:val="0"/>
        <w:numPr>
          <w:ilvl w:val="0"/>
          <w:numId w:val="3"/>
        </w:numPr>
        <w:ind w:left="0"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Отраслевые особенности предприятий.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Отраслевые особенности оказывают влияние на структуру активов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 и длительность его операционного цикла.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Предприятия с высоким уровнем </w:t>
      </w:r>
      <w:proofErr w:type="spellStart"/>
      <w:r w:rsidRPr="004B01A7">
        <w:rPr>
          <w:sz w:val="24"/>
          <w:szCs w:val="24"/>
        </w:rPr>
        <w:t>фондоемкости</w:t>
      </w:r>
      <w:proofErr w:type="spellEnd"/>
      <w:r w:rsidRPr="004B01A7">
        <w:rPr>
          <w:sz w:val="24"/>
          <w:szCs w:val="24"/>
        </w:rPr>
        <w:t xml:space="preserve"> производства и зн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чительной долей </w:t>
      </w:r>
      <w:proofErr w:type="spellStart"/>
      <w:r w:rsidRPr="004B01A7">
        <w:rPr>
          <w:sz w:val="24"/>
          <w:szCs w:val="24"/>
        </w:rPr>
        <w:t>внеоборотных</w:t>
      </w:r>
      <w:proofErr w:type="spellEnd"/>
      <w:r w:rsidRPr="004B01A7">
        <w:rPr>
          <w:sz w:val="24"/>
          <w:szCs w:val="24"/>
        </w:rPr>
        <w:t xml:space="preserve"> активов, как правило, имеют более низкие показатели ликви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ности и более низкий кредитный рейтинг. Поэтому такие предприятия вынуждены использовать, главным образом, собственный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питал.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Предприятия с небольшой продолжительностью операционного ци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ла имеют более высокие показатели оборачиваемости, чем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 с длительным циклом оборота, поэтому при прочих равных условиях такие предприятия имеют больше шансов получить кредит.</w:t>
      </w:r>
    </w:p>
    <w:p w:rsidR="001C703C" w:rsidRPr="004B01A7" w:rsidRDefault="001C703C" w:rsidP="001C703C">
      <w:pPr>
        <w:pStyle w:val="a3"/>
        <w:widowControl w:val="0"/>
        <w:numPr>
          <w:ilvl w:val="0"/>
          <w:numId w:val="3"/>
        </w:numPr>
        <w:ind w:left="0"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Конъюнктура финансового рынка.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зависимости от спроса и предложения на денежном и финансовом рынке изменяется стоимость привлекаемого заемного капитала. Такое и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менение приводит к изменению дифференциала эффекта финансового р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чага, следовательно, и к изменению самого эффекта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нансового рычага.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Таким образом, предприятие, привлекая заемные средства, должно обеспечить достаточную эффективность их использования, чтобы общая рентабельность акт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вов предприятия не снижалась.</w:t>
      </w:r>
    </w:p>
    <w:p w:rsidR="001C703C" w:rsidRPr="004B01A7" w:rsidRDefault="001C703C" w:rsidP="001C703C">
      <w:pPr>
        <w:pStyle w:val="a3"/>
        <w:widowControl w:val="0"/>
        <w:numPr>
          <w:ilvl w:val="0"/>
          <w:numId w:val="3"/>
        </w:numPr>
        <w:ind w:left="0"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Уровень налогообложения.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Чем выше налог на прибыль, чем меньше налоговые льготы, тем б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лее выгодно предприятию заемное финансирование, т.к. проценты по кр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дитам в определенном размере относятся на себестоимость, что снижает налогооблагаемую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быль.</w:t>
      </w:r>
    </w:p>
    <w:p w:rsidR="001C703C" w:rsidRPr="004B01A7" w:rsidRDefault="001C703C" w:rsidP="001C703C">
      <w:pPr>
        <w:pStyle w:val="a3"/>
        <w:widowControl w:val="0"/>
        <w:numPr>
          <w:ilvl w:val="0"/>
          <w:numId w:val="3"/>
        </w:numPr>
        <w:ind w:left="0"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Отношение кредитов к предприятию.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Условия предоставления кредита конкретному предприятию могут отклоняться от </w:t>
      </w:r>
      <w:proofErr w:type="gramStart"/>
      <w:r w:rsidRPr="004B01A7">
        <w:rPr>
          <w:sz w:val="24"/>
          <w:szCs w:val="24"/>
        </w:rPr>
        <w:t>средних</w:t>
      </w:r>
      <w:proofErr w:type="gramEnd"/>
      <w:r w:rsidRPr="004B01A7">
        <w:rPr>
          <w:sz w:val="24"/>
          <w:szCs w:val="24"/>
        </w:rPr>
        <w:t>, устанавливаемых банком. Причинами такого 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клонения могут стать существенные изменения в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нансовом состоянии предприятия, наличие особой договоренности на уровне руководства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 и банка и т.п</w:t>
      </w:r>
      <w:proofErr w:type="gramStart"/>
      <w:r w:rsidRPr="004B01A7">
        <w:rPr>
          <w:sz w:val="24"/>
          <w:szCs w:val="24"/>
        </w:rPr>
        <w:t>..</w:t>
      </w:r>
      <w:proofErr w:type="gramEnd"/>
    </w:p>
    <w:p w:rsidR="001C703C" w:rsidRPr="004B01A7" w:rsidRDefault="001C703C" w:rsidP="001C703C">
      <w:pPr>
        <w:pStyle w:val="a3"/>
        <w:widowControl w:val="0"/>
        <w:numPr>
          <w:ilvl w:val="0"/>
          <w:numId w:val="3"/>
        </w:numPr>
        <w:ind w:left="0"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Менталитет собственников и менеджеров пре</w:t>
      </w:r>
      <w:r w:rsidRPr="004B01A7">
        <w:rPr>
          <w:sz w:val="24"/>
          <w:szCs w:val="24"/>
          <w:u w:val="single"/>
        </w:rPr>
        <w:t>д</w:t>
      </w:r>
      <w:r w:rsidRPr="004B01A7">
        <w:rPr>
          <w:sz w:val="24"/>
          <w:szCs w:val="24"/>
          <w:u w:val="single"/>
        </w:rPr>
        <w:t>приятий.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Собственники и менеджеры предприятий могут проявлять большую или меньшую консервативность при установлении приемл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мого для них финансового риска, генерируемого структурой пассивов предприятия. Неприятие высокого риска формирует консервативный подход к финанс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рованию предприятия и наоборот.</w:t>
      </w:r>
    </w:p>
    <w:p w:rsidR="001C703C" w:rsidRPr="004B01A7" w:rsidRDefault="001C703C" w:rsidP="001C703C">
      <w:pPr>
        <w:pStyle w:val="a3"/>
        <w:widowControl w:val="0"/>
        <w:numPr>
          <w:ilvl w:val="0"/>
          <w:numId w:val="3"/>
        </w:numPr>
        <w:ind w:left="0"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Уровень рентабельности операционной деятел</w:t>
      </w:r>
      <w:r w:rsidRPr="004B01A7">
        <w:rPr>
          <w:sz w:val="24"/>
          <w:szCs w:val="24"/>
          <w:u w:val="single"/>
        </w:rPr>
        <w:t>ь</w:t>
      </w:r>
      <w:r w:rsidRPr="004B01A7">
        <w:rPr>
          <w:sz w:val="24"/>
          <w:szCs w:val="24"/>
          <w:u w:val="single"/>
        </w:rPr>
        <w:t>ности.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Высокое значение показателя рентабельности операционной деятел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ности расценивается кредиторами и инвесторами предприятия полож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тельно, поэтому высокорентабельное предприятие имеет бол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ше шансов получить заемный капитал. Но замечено, что высокорентабельные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 часто имеют относительно низкую долю долгового финансиров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ния. Это объясняется тем, что при высоком уровне рентабельности предприятие имеет возможность удовлетворять 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полнительно возникающие потребности в капитале за счет накопле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ной прибыли.</w:t>
      </w:r>
    </w:p>
    <w:p w:rsidR="001C703C" w:rsidRPr="004B01A7" w:rsidRDefault="001C703C" w:rsidP="001C703C">
      <w:pPr>
        <w:pStyle w:val="a3"/>
        <w:widowControl w:val="0"/>
        <w:numPr>
          <w:ilvl w:val="0"/>
          <w:numId w:val="3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Стратегические целевые установки предприятия в контексте его разв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тия.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Предприятие может ориентироваться на поглощение других комп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ний. В этом </w:t>
      </w:r>
      <w:r w:rsidRPr="004B01A7">
        <w:rPr>
          <w:sz w:val="24"/>
          <w:szCs w:val="24"/>
        </w:rPr>
        <w:lastRenderedPageBreak/>
        <w:t>случае при формировании структуры источников финансир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вания ему необходимо учитывать то влияние, которое ок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жет на структуру его капитала структура капитала поглощаемой ко</w:t>
      </w:r>
      <w:r w:rsidRPr="004B01A7">
        <w:rPr>
          <w:sz w:val="24"/>
          <w:szCs w:val="24"/>
        </w:rPr>
        <w:t>м</w:t>
      </w:r>
      <w:r w:rsidRPr="004B01A7">
        <w:rPr>
          <w:sz w:val="24"/>
          <w:szCs w:val="24"/>
        </w:rPr>
        <w:t>пании.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</w:p>
    <w:p w:rsidR="001C703C" w:rsidRPr="004B01A7" w:rsidRDefault="001C703C" w:rsidP="001C703C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3" w:name="_Toc93683844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7.3. Критерии оптимизации структуры капитала</w:t>
      </w:r>
      <w:bookmarkEnd w:id="3"/>
    </w:p>
    <w:p w:rsidR="001C703C" w:rsidRPr="004B01A7" w:rsidRDefault="001C703C" w:rsidP="001C703C">
      <w:pPr>
        <w:pStyle w:val="a3"/>
        <w:widowControl w:val="0"/>
        <w:ind w:firstLine="567"/>
        <w:rPr>
          <w:bCs/>
          <w:iCs/>
          <w:sz w:val="24"/>
          <w:szCs w:val="24"/>
        </w:rPr>
      </w:pPr>
    </w:p>
    <w:p w:rsidR="001C703C" w:rsidRPr="004B01A7" w:rsidRDefault="001C703C" w:rsidP="001C703C">
      <w:pPr>
        <w:pStyle w:val="a3"/>
        <w:widowControl w:val="0"/>
        <w:ind w:firstLine="567"/>
        <w:rPr>
          <w:bCs/>
          <w:iCs/>
          <w:sz w:val="24"/>
          <w:szCs w:val="24"/>
        </w:rPr>
      </w:pPr>
      <w:r w:rsidRPr="004B01A7">
        <w:rPr>
          <w:bCs/>
          <w:iCs/>
          <w:sz w:val="24"/>
          <w:szCs w:val="24"/>
        </w:rPr>
        <w:t>Управление структурой капитала на предприятии сводится к двум о</w:t>
      </w:r>
      <w:r w:rsidRPr="004B01A7">
        <w:rPr>
          <w:bCs/>
          <w:iCs/>
          <w:sz w:val="24"/>
          <w:szCs w:val="24"/>
        </w:rPr>
        <w:t>с</w:t>
      </w:r>
      <w:r w:rsidRPr="004B01A7">
        <w:rPr>
          <w:bCs/>
          <w:iCs/>
          <w:sz w:val="24"/>
          <w:szCs w:val="24"/>
        </w:rPr>
        <w:t>новным моментам: 1) установление оптимального для данного предпр</w:t>
      </w:r>
      <w:r w:rsidRPr="004B01A7">
        <w:rPr>
          <w:bCs/>
          <w:iCs/>
          <w:sz w:val="24"/>
          <w:szCs w:val="24"/>
        </w:rPr>
        <w:t>и</w:t>
      </w:r>
      <w:r w:rsidRPr="004B01A7">
        <w:rPr>
          <w:bCs/>
          <w:iCs/>
          <w:sz w:val="24"/>
          <w:szCs w:val="24"/>
        </w:rPr>
        <w:t>ятия соотношения собственного и заемного капитала; 2) обеспечение привлеч</w:t>
      </w:r>
      <w:r w:rsidRPr="004B01A7">
        <w:rPr>
          <w:bCs/>
          <w:iCs/>
          <w:sz w:val="24"/>
          <w:szCs w:val="24"/>
        </w:rPr>
        <w:t>е</w:t>
      </w:r>
      <w:r w:rsidRPr="004B01A7">
        <w:rPr>
          <w:bCs/>
          <w:iCs/>
          <w:sz w:val="24"/>
          <w:szCs w:val="24"/>
        </w:rPr>
        <w:t>ния на предприятие необходимых объемов капитала соответствующих в</w:t>
      </w:r>
      <w:r w:rsidRPr="004B01A7">
        <w:rPr>
          <w:bCs/>
          <w:iCs/>
          <w:sz w:val="24"/>
          <w:szCs w:val="24"/>
        </w:rPr>
        <w:t>и</w:t>
      </w:r>
      <w:r w:rsidRPr="004B01A7">
        <w:rPr>
          <w:bCs/>
          <w:iCs/>
          <w:sz w:val="24"/>
          <w:szCs w:val="24"/>
        </w:rPr>
        <w:t>дов для достижения расчетных оптимальных показателей его стру</w:t>
      </w:r>
      <w:r w:rsidRPr="004B01A7">
        <w:rPr>
          <w:bCs/>
          <w:iCs/>
          <w:sz w:val="24"/>
          <w:szCs w:val="24"/>
        </w:rPr>
        <w:t>к</w:t>
      </w:r>
      <w:r w:rsidRPr="004B01A7">
        <w:rPr>
          <w:bCs/>
          <w:iCs/>
          <w:sz w:val="24"/>
          <w:szCs w:val="24"/>
        </w:rPr>
        <w:t>туры.</w:t>
      </w:r>
    </w:p>
    <w:p w:rsidR="001C703C" w:rsidRPr="004B01A7" w:rsidRDefault="001C703C" w:rsidP="001C703C">
      <w:pPr>
        <w:pStyle w:val="a3"/>
        <w:widowControl w:val="0"/>
        <w:ind w:firstLine="567"/>
        <w:rPr>
          <w:bCs/>
          <w:iCs/>
          <w:sz w:val="24"/>
          <w:szCs w:val="24"/>
        </w:rPr>
      </w:pPr>
      <w:r w:rsidRPr="004B01A7">
        <w:rPr>
          <w:bCs/>
          <w:iCs/>
          <w:sz w:val="24"/>
          <w:szCs w:val="24"/>
        </w:rPr>
        <w:t>Установление оптимального для данного предприятия соотношения собстве</w:t>
      </w:r>
      <w:r w:rsidRPr="004B01A7">
        <w:rPr>
          <w:bCs/>
          <w:iCs/>
          <w:sz w:val="24"/>
          <w:szCs w:val="24"/>
        </w:rPr>
        <w:t>н</w:t>
      </w:r>
      <w:r w:rsidRPr="004B01A7">
        <w:rPr>
          <w:bCs/>
          <w:iCs/>
          <w:sz w:val="24"/>
          <w:szCs w:val="24"/>
        </w:rPr>
        <w:t>ного и заемного капитала осуществляется на основе следующих критериев: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  <w:u w:val="single"/>
        </w:rPr>
      </w:pPr>
      <w:r w:rsidRPr="004B01A7">
        <w:rPr>
          <w:bCs/>
          <w:iCs/>
          <w:sz w:val="24"/>
          <w:szCs w:val="24"/>
          <w:u w:val="single"/>
        </w:rPr>
        <w:t>1. Уровень финансовой рентабельности.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Проводятся расчеты рентабельности собственного капитала для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личных сочетаний собс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венных и заемных средств. Рассчитывается эффект финансового рычага в каждом случае. Оценивается приращение к рент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бельности собственного капитала, получаемое в каждом случае. Выбирае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 тот вариант, при котором уровень финансовой рентабельности собственного капитала будет макс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мальным.</w:t>
      </w:r>
    </w:p>
    <w:p w:rsidR="001C703C" w:rsidRPr="004B01A7" w:rsidRDefault="001C703C" w:rsidP="001C703C">
      <w:pPr>
        <w:pStyle w:val="a3"/>
        <w:widowControl w:val="0"/>
        <w:ind w:firstLine="567"/>
        <w:rPr>
          <w:bCs/>
          <w:iCs/>
          <w:sz w:val="24"/>
          <w:szCs w:val="24"/>
          <w:u w:val="single"/>
        </w:rPr>
      </w:pPr>
      <w:r w:rsidRPr="004B01A7">
        <w:rPr>
          <w:bCs/>
          <w:iCs/>
          <w:sz w:val="24"/>
          <w:szCs w:val="24"/>
          <w:u w:val="single"/>
        </w:rPr>
        <w:t>2. Стоимость капитала.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Оценивается стоимость собственного и заемного капитала при ра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личных условиях его привл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чения. Проводятся многовариантные расчеты средневзвешенной стоимости капитала. Выбирается вариант, обеспечив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ющий наименьшую стоимость капитала.</w:t>
      </w:r>
    </w:p>
    <w:p w:rsidR="001C703C" w:rsidRPr="004B01A7" w:rsidRDefault="001C703C" w:rsidP="001C703C">
      <w:pPr>
        <w:pStyle w:val="a3"/>
        <w:widowControl w:val="0"/>
        <w:ind w:firstLine="567"/>
        <w:rPr>
          <w:bCs/>
          <w:iCs/>
          <w:sz w:val="24"/>
          <w:szCs w:val="24"/>
          <w:u w:val="single"/>
        </w:rPr>
      </w:pPr>
      <w:r w:rsidRPr="004B01A7">
        <w:rPr>
          <w:bCs/>
          <w:iCs/>
          <w:sz w:val="24"/>
          <w:szCs w:val="24"/>
          <w:u w:val="single"/>
        </w:rPr>
        <w:t>3. Уровень финансовых рисков.</w:t>
      </w:r>
    </w:p>
    <w:p w:rsidR="001C703C" w:rsidRPr="004B01A7" w:rsidRDefault="001C703C" w:rsidP="001C703C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Подход основан на дифференцированном выборе </w:t>
      </w:r>
      <w:proofErr w:type="gramStart"/>
      <w:r w:rsidRPr="004B01A7">
        <w:rPr>
          <w:sz w:val="24"/>
          <w:szCs w:val="24"/>
        </w:rPr>
        <w:t>источников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сирования различных элементов активов предприятия</w:t>
      </w:r>
      <w:proofErr w:type="gramEnd"/>
      <w:r w:rsidRPr="004B01A7">
        <w:rPr>
          <w:sz w:val="24"/>
          <w:szCs w:val="24"/>
        </w:rPr>
        <w:t>.</w:t>
      </w:r>
    </w:p>
    <w:p w:rsidR="00556C51" w:rsidRDefault="00556C51"/>
    <w:sectPr w:rsidR="0055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B43"/>
    <w:multiLevelType w:val="hybridMultilevel"/>
    <w:tmpl w:val="AA420FE6"/>
    <w:lvl w:ilvl="0" w:tplc="BF2C70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6112567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E0DA6"/>
    <w:multiLevelType w:val="hybridMultilevel"/>
    <w:tmpl w:val="2CBA65A4"/>
    <w:lvl w:ilvl="0" w:tplc="BEFA0E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C446B8"/>
    <w:multiLevelType w:val="hybridMultilevel"/>
    <w:tmpl w:val="72D61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F2"/>
    <w:rsid w:val="001C703C"/>
    <w:rsid w:val="004A64F2"/>
    <w:rsid w:val="0055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703C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C703C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0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703C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1C703C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C70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703C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C703C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0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703C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1C703C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C70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6492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2</cp:revision>
  <dcterms:created xsi:type="dcterms:W3CDTF">2020-11-28T14:40:00Z</dcterms:created>
  <dcterms:modified xsi:type="dcterms:W3CDTF">2020-11-28T14:40:00Z</dcterms:modified>
</cp:coreProperties>
</file>